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7C77AA" w:rsidRDefault="005610EE" w:rsidP="005610EE">
      <w:pPr>
        <w:spacing w:line="384" w:lineRule="auto"/>
        <w:rPr>
          <w:rFonts w:ascii="Times New Roman" w:hAnsi="Times New Roman" w:cs="Times New Roman"/>
          <w:lang w:val="hu-HU"/>
        </w:rPr>
      </w:pPr>
    </w:p>
    <w:p w14:paraId="5076A553" w14:textId="77777777" w:rsidR="009F10DB" w:rsidRPr="007C77AA" w:rsidRDefault="009F10DB" w:rsidP="005610EE">
      <w:pPr>
        <w:spacing w:line="384" w:lineRule="auto"/>
        <w:jc w:val="center"/>
        <w:rPr>
          <w:rFonts w:ascii="Times New Roman" w:hAnsi="Times New Roman" w:cs="Times New Roman"/>
          <w:b/>
          <w:bCs/>
          <w:lang w:val="hu-HU"/>
        </w:rPr>
      </w:pPr>
      <w:r w:rsidRPr="007C77AA">
        <w:rPr>
          <w:rFonts w:ascii="Times New Roman" w:hAnsi="Times New Roman" w:cs="Times New Roman"/>
          <w:b/>
          <w:bCs/>
          <w:lang w:val="hu-HU"/>
        </w:rPr>
        <w:t xml:space="preserve">A TANTÁRGY ADATLAPJA </w:t>
      </w:r>
    </w:p>
    <w:p w14:paraId="26821D1B" w14:textId="3E51E0EF" w:rsidR="00635D9F" w:rsidRPr="007C77AA" w:rsidRDefault="00635D9F" w:rsidP="005610EE">
      <w:pPr>
        <w:spacing w:line="384" w:lineRule="auto"/>
        <w:jc w:val="center"/>
        <w:rPr>
          <w:rFonts w:ascii="Times New Roman" w:hAnsi="Times New Roman" w:cs="Times New Roman"/>
        </w:rPr>
      </w:pPr>
      <w:r w:rsidRPr="007C77AA">
        <w:rPr>
          <w:rFonts w:ascii="Times New Roman" w:hAnsi="Times New Roman" w:cs="Times New Roman"/>
        </w:rPr>
        <w:t>Dramaturgia (2)</w:t>
      </w:r>
    </w:p>
    <w:p w14:paraId="147D6DE1" w14:textId="3F40721F" w:rsidR="00123B64" w:rsidRPr="007C77AA" w:rsidRDefault="00832BD1" w:rsidP="005610EE">
      <w:pPr>
        <w:spacing w:line="384" w:lineRule="auto"/>
        <w:jc w:val="center"/>
        <w:rPr>
          <w:rFonts w:ascii="Times New Roman" w:hAnsi="Times New Roman" w:cs="Times New Roman"/>
          <w:lang w:val="hu-HU"/>
        </w:rPr>
      </w:pPr>
      <w:r w:rsidRPr="007C77AA">
        <w:rPr>
          <w:rFonts w:ascii="Times New Roman" w:hAnsi="Times New Roman" w:cs="Times New Roman"/>
          <w:lang w:val="hu-HU"/>
        </w:rPr>
        <w:t>Egyetemi</w:t>
      </w:r>
      <w:r w:rsidR="005334A2" w:rsidRPr="007C77AA">
        <w:rPr>
          <w:rFonts w:ascii="Times New Roman" w:hAnsi="Times New Roman" w:cs="Times New Roman"/>
          <w:lang w:val="hu-HU"/>
        </w:rPr>
        <w:t xml:space="preserve"> tanév</w:t>
      </w:r>
      <w:r w:rsidR="00363D20" w:rsidRPr="007C77AA">
        <w:rPr>
          <w:rFonts w:ascii="Times New Roman" w:hAnsi="Times New Roman" w:cs="Times New Roman"/>
          <w:lang w:val="hu-HU"/>
        </w:rPr>
        <w:t xml:space="preserve"> </w:t>
      </w:r>
      <w:r w:rsidR="00635D9F" w:rsidRPr="007C77AA">
        <w:rPr>
          <w:rFonts w:ascii="Times New Roman" w:hAnsi="Times New Roman" w:cs="Times New Roman"/>
        </w:rPr>
        <w:t>2025/2026</w:t>
      </w:r>
    </w:p>
    <w:p w14:paraId="28DAEF12" w14:textId="77777777" w:rsidR="002315D2" w:rsidRPr="007C77AA" w:rsidRDefault="002315D2" w:rsidP="00E703A6">
      <w:pPr>
        <w:spacing w:after="0" w:line="240" w:lineRule="auto"/>
        <w:rPr>
          <w:rFonts w:ascii="Times New Roman" w:hAnsi="Times New Roman" w:cs="Times New Roman"/>
          <w:color w:val="FF0000"/>
          <w:lang w:val="hu-HU"/>
        </w:rPr>
      </w:pPr>
    </w:p>
    <w:p w14:paraId="6FE23610" w14:textId="4B489D7C" w:rsidR="00886616" w:rsidRPr="007C77AA" w:rsidRDefault="00886616" w:rsidP="00E703A6">
      <w:pPr>
        <w:spacing w:after="0" w:line="240" w:lineRule="auto"/>
        <w:ind w:left="142" w:hanging="567"/>
        <w:rPr>
          <w:rFonts w:ascii="Times New Roman" w:hAnsi="Times New Roman" w:cs="Times New Roman"/>
          <w:b/>
          <w:lang w:val="hu-HU"/>
        </w:rPr>
      </w:pPr>
      <w:r w:rsidRPr="007C77AA">
        <w:rPr>
          <w:rFonts w:ascii="Times New Roman" w:hAnsi="Times New Roman" w:cs="Times New Roman"/>
          <w:b/>
          <w:lang w:val="hu-HU"/>
        </w:rPr>
        <w:t xml:space="preserve">1. </w:t>
      </w:r>
      <w:r w:rsidR="004F1246" w:rsidRPr="007C77AA">
        <w:rPr>
          <w:rFonts w:ascii="Times New Roman" w:hAnsi="Times New Roman" w:cs="Times New Roman"/>
          <w:b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7C77AA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7C77AA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 xml:space="preserve">1.1. </w:t>
            </w:r>
            <w:r w:rsidR="007843D7"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6E3AE58D" w:rsidR="00D51618" w:rsidRPr="007C77AA" w:rsidRDefault="00635D9F" w:rsidP="00635D9F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Babeș–Bolyai Tudományegyetem</w:t>
            </w:r>
          </w:p>
        </w:tc>
      </w:tr>
      <w:tr w:rsidR="00D51618" w:rsidRPr="007C77AA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7C77AA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 xml:space="preserve">1.2. </w:t>
            </w:r>
            <w:r w:rsidR="00EF2873"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5C31E777" w:rsidR="00D51618" w:rsidRPr="007C77AA" w:rsidRDefault="00635D9F" w:rsidP="00635D9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Színház és Film Kar</w:t>
            </w:r>
          </w:p>
        </w:tc>
      </w:tr>
      <w:tr w:rsidR="00D51618" w:rsidRPr="007C77AA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7C77AA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 xml:space="preserve">1.3. </w:t>
            </w:r>
            <w:r w:rsidR="00893AF8"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21C8886C" w:rsidR="00D51618" w:rsidRPr="007C77AA" w:rsidRDefault="00635D9F" w:rsidP="00635D9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Magyar Színházi Intézet</w:t>
            </w:r>
          </w:p>
        </w:tc>
      </w:tr>
      <w:tr w:rsidR="00D51618" w:rsidRPr="007C77AA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7C77AA" w:rsidRDefault="00D51618" w:rsidP="00E703A6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1.4.</w:t>
            </w:r>
            <w:r w:rsidRPr="007C77AA">
              <w:rPr>
                <w:rFonts w:ascii="Times New Roman" w:eastAsia="Times New Roman" w:hAnsi="Times New Roman" w:cs="Times New Roman"/>
                <w:b/>
                <w:kern w:val="0"/>
                <w:lang w:val="hu-HU" w:eastAsia="zh-CN"/>
                <w14:ligatures w14:val="none"/>
              </w:rPr>
              <w:t xml:space="preserve"> </w:t>
            </w:r>
            <w:r w:rsidR="00CA16E6"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2FE78C8F" w:rsidR="00D51618" w:rsidRPr="007C77AA" w:rsidRDefault="00635D9F" w:rsidP="00635D9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Színház- és előadóművészet</w:t>
            </w:r>
          </w:p>
        </w:tc>
      </w:tr>
      <w:tr w:rsidR="00D51618" w:rsidRPr="007C77AA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7C77AA" w:rsidRDefault="00D51618" w:rsidP="00E703A6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kern w:val="0"/>
                <w:vertAlign w:val="superscript"/>
                <w:lang w:val="hu-HU" w:eastAsia="zh-CN"/>
                <w14:ligatures w14:val="none"/>
              </w:rPr>
            </w:pPr>
            <w:r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1.5.</w:t>
            </w:r>
            <w:r w:rsidRPr="007C77AA">
              <w:rPr>
                <w:rFonts w:ascii="Times New Roman" w:eastAsia="Times New Roman" w:hAnsi="Times New Roman" w:cs="Times New Roman"/>
                <w:b/>
                <w:kern w:val="0"/>
                <w:lang w:val="hu-HU" w:eastAsia="zh-CN"/>
                <w14:ligatures w14:val="none"/>
              </w:rPr>
              <w:t xml:space="preserve"> </w:t>
            </w:r>
            <w:r w:rsidR="008C0848"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6411D6E9" w:rsidR="00D51618" w:rsidRPr="007C77AA" w:rsidRDefault="00635D9F" w:rsidP="00635D9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Alapképzés (BA)</w:t>
            </w:r>
          </w:p>
        </w:tc>
      </w:tr>
      <w:tr w:rsidR="00D51618" w:rsidRPr="007C77AA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7C77AA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 xml:space="preserve">1.6. </w:t>
            </w:r>
            <w:r w:rsidR="007506B7"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Tanulmányi program</w:t>
            </w:r>
            <w:r w:rsidR="00982E92"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71F301C0" w:rsidR="00D51618" w:rsidRPr="007C77AA" w:rsidRDefault="00635D9F" w:rsidP="00635D9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Teatrológia</w:t>
            </w:r>
          </w:p>
        </w:tc>
      </w:tr>
      <w:tr w:rsidR="00D51618" w:rsidRPr="007C77AA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7C77AA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 xml:space="preserve">1.7. </w:t>
            </w:r>
            <w:r w:rsidR="00414998" w:rsidRPr="007C77AA"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01FCE8D" w:rsidR="00D51618" w:rsidRPr="007C77AA" w:rsidRDefault="00635D9F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Times New Roman" w:eastAsia="Times New Roman" w:hAnsi="Times New Roman" w:cs="Times New Roman"/>
                <w:kern w:val="0"/>
                <w:lang w:val="hu-HU" w:eastAsia="zh-CN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Nappali tagozat</w:t>
            </w:r>
          </w:p>
        </w:tc>
      </w:tr>
    </w:tbl>
    <w:p w14:paraId="04115883" w14:textId="77777777" w:rsidR="00FC204E" w:rsidRPr="007C77AA" w:rsidRDefault="00FC204E" w:rsidP="005610EE">
      <w:pPr>
        <w:spacing w:after="0"/>
        <w:rPr>
          <w:rFonts w:ascii="Times New Roman" w:hAnsi="Times New Roman" w:cs="Times New Roman"/>
          <w:b/>
          <w:lang w:val="hu-HU"/>
        </w:rPr>
      </w:pPr>
    </w:p>
    <w:p w14:paraId="101334E7" w14:textId="3C22B1C8" w:rsidR="00366881" w:rsidRPr="007C77AA" w:rsidRDefault="00366881" w:rsidP="00E703A6">
      <w:pPr>
        <w:spacing w:after="0" w:line="240" w:lineRule="auto"/>
        <w:ind w:left="142" w:hanging="567"/>
        <w:rPr>
          <w:rFonts w:ascii="Times New Roman" w:hAnsi="Times New Roman" w:cs="Times New Roman"/>
          <w:b/>
          <w:lang w:val="hu-HU"/>
        </w:rPr>
      </w:pPr>
      <w:r w:rsidRPr="007C77AA">
        <w:rPr>
          <w:rFonts w:ascii="Times New Roman" w:hAnsi="Times New Roman" w:cs="Times New Roman"/>
          <w:b/>
          <w:lang w:val="hu-HU"/>
        </w:rPr>
        <w:t xml:space="preserve">2. </w:t>
      </w:r>
      <w:r w:rsidR="00B96828" w:rsidRPr="007C77AA">
        <w:rPr>
          <w:rFonts w:ascii="Times New Roman" w:hAnsi="Times New Roman" w:cs="Times New Roman"/>
          <w:b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7C77AA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7C77AA" w:rsidRDefault="008F5E28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2.1. </w:t>
            </w:r>
            <w:r w:rsidR="002A6395" w:rsidRPr="007C77AA">
              <w:rPr>
                <w:rFonts w:ascii="Times New Roman" w:eastAsia="Times New Roman" w:hAnsi="Times New Roman" w:cs="Times New Roman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5BD98817" w:rsidR="008F5E28" w:rsidRPr="007C77AA" w:rsidRDefault="00635D9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7C77AA">
              <w:rPr>
                <w:rFonts w:ascii="Times New Roman" w:hAnsi="Times New Roman" w:cs="Times New Roman"/>
              </w:rPr>
              <w:t>Dramaturgia (2)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7C77AA" w:rsidRDefault="00145A25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12C2CDCC" w:rsidR="008F5E28" w:rsidRPr="007C77AA" w:rsidRDefault="00635D9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7C77AA">
              <w:rPr>
                <w:rFonts w:ascii="Times New Roman" w:hAnsi="Times New Roman" w:cs="Times New Roman"/>
              </w:rPr>
              <w:t>VLM2705</w:t>
            </w:r>
          </w:p>
        </w:tc>
      </w:tr>
      <w:tr w:rsidR="008F5E28" w:rsidRPr="007C77AA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7C77AA" w:rsidRDefault="008F5E28" w:rsidP="00E703A6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2.2. </w:t>
            </w:r>
            <w:r w:rsidR="00C81073" w:rsidRPr="007C77AA">
              <w:rPr>
                <w:rFonts w:ascii="Times New Roman" w:eastAsia="Times New Roman" w:hAnsi="Times New Roman" w:cs="Times New Roman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58271284" w:rsidR="008F5E28" w:rsidRPr="007C77AA" w:rsidRDefault="00635D9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hAnsi="Times New Roman" w:cs="Times New Roman"/>
              </w:rPr>
              <w:t>Prof. dr. Visky András</w:t>
            </w:r>
          </w:p>
        </w:tc>
      </w:tr>
      <w:tr w:rsidR="008F5E28" w:rsidRPr="007C77AA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7C77AA" w:rsidRDefault="008F5E28" w:rsidP="00E703A6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2.3. </w:t>
            </w:r>
            <w:r w:rsidR="00B50086" w:rsidRPr="007C77AA">
              <w:rPr>
                <w:rFonts w:ascii="Times New Roman" w:eastAsia="Times New Roman" w:hAnsi="Times New Roman" w:cs="Times New Roman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641B214B" w:rsidR="008F5E28" w:rsidRPr="007C77AA" w:rsidRDefault="00635D9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hAnsi="Times New Roman" w:cs="Times New Roman"/>
              </w:rPr>
              <w:t>Drd. Lovassy Cseh Tamás</w:t>
            </w:r>
            <w:r w:rsidR="00FB273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566DE" w:rsidRPr="007C77AA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7C77AA" w:rsidRDefault="006016CF" w:rsidP="00E703A6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2.4. </w:t>
            </w:r>
            <w:r w:rsidR="00F112CC" w:rsidRPr="007C77AA">
              <w:rPr>
                <w:rFonts w:ascii="Times New Roman" w:eastAsia="Times New Roman" w:hAnsi="Times New Roman" w:cs="Times New Roman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464B45DA" w:rsidR="006016CF" w:rsidRPr="007C77AA" w:rsidRDefault="00635D9F" w:rsidP="00E703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7C77AA" w:rsidRDefault="006016CF" w:rsidP="00E703A6">
            <w:pPr>
              <w:suppressAutoHyphens/>
              <w:spacing w:after="0" w:line="240" w:lineRule="auto"/>
              <w:ind w:right="-203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2.5. </w:t>
            </w:r>
            <w:r w:rsidR="0059285C" w:rsidRPr="007C77AA">
              <w:rPr>
                <w:rFonts w:ascii="Times New Roman" w:eastAsia="Times New Roman" w:hAnsi="Times New Roman" w:cs="Times New Roman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0C3852D" w:rsidR="006016CF" w:rsidRPr="007C77AA" w:rsidRDefault="00635D9F" w:rsidP="00E703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7C77AA" w:rsidRDefault="006016CF" w:rsidP="00E703A6">
            <w:pPr>
              <w:suppressAutoHyphens/>
              <w:spacing w:after="0" w:line="240" w:lineRule="auto"/>
              <w:ind w:right="-288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2.6. </w:t>
            </w:r>
            <w:r w:rsidR="00CE0922" w:rsidRPr="007C77AA">
              <w:rPr>
                <w:rFonts w:ascii="Times New Roman" w:eastAsia="Times New Roman" w:hAnsi="Times New Roman" w:cs="Times New Roman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BA22106" w:rsidR="006016CF" w:rsidRPr="007C77AA" w:rsidRDefault="004E3EBC" w:rsidP="00E703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7C77AA" w:rsidRDefault="006016C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2.7. </w:t>
            </w:r>
            <w:r w:rsidR="00873733" w:rsidRPr="007C77AA">
              <w:rPr>
                <w:rFonts w:ascii="Times New Roman" w:eastAsia="Times New Roman" w:hAnsi="Times New Roman" w:cs="Times New Roman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EF180CC" w:rsidR="006016CF" w:rsidRPr="007C77AA" w:rsidRDefault="00FB273C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hAnsi="Times New Roman" w:cs="Times New Roman"/>
              </w:rPr>
              <w:t>DD</w:t>
            </w:r>
          </w:p>
        </w:tc>
      </w:tr>
    </w:tbl>
    <w:p w14:paraId="6E504759" w14:textId="77777777" w:rsidR="00586682" w:rsidRPr="007C77AA" w:rsidRDefault="00586682" w:rsidP="005610EE">
      <w:pPr>
        <w:suppressAutoHyphens/>
        <w:spacing w:after="0"/>
        <w:ind w:right="-765"/>
        <w:rPr>
          <w:rFonts w:ascii="Times New Roman" w:hAnsi="Times New Roman" w:cs="Times New Roman"/>
          <w:lang w:val="hu-HU"/>
        </w:rPr>
      </w:pPr>
    </w:p>
    <w:p w14:paraId="59DB4156" w14:textId="5D51F603" w:rsidR="00586682" w:rsidRPr="007C77AA" w:rsidRDefault="00586682" w:rsidP="00E703A6">
      <w:pPr>
        <w:suppressAutoHyphens/>
        <w:spacing w:after="0" w:line="240" w:lineRule="auto"/>
        <w:ind w:right="-766" w:hanging="426"/>
        <w:rPr>
          <w:rFonts w:ascii="Times New Roman" w:eastAsia="Times New Roman" w:hAnsi="Times New Roman" w:cs="Times New Roman"/>
          <w:lang w:val="hu-HU" w:eastAsia="zh-CN"/>
        </w:rPr>
      </w:pPr>
      <w:r w:rsidRPr="007C77AA">
        <w:rPr>
          <w:rFonts w:ascii="Times New Roman" w:eastAsia="Times New Roman" w:hAnsi="Times New Roman" w:cs="Times New Roman"/>
          <w:b/>
          <w:lang w:val="hu-HU" w:eastAsia="zh-CN"/>
        </w:rPr>
        <w:t xml:space="preserve">3. </w:t>
      </w:r>
      <w:r w:rsidR="006F6533" w:rsidRPr="007C77AA">
        <w:rPr>
          <w:rFonts w:ascii="Times New Roman" w:eastAsia="Times New Roman" w:hAnsi="Times New Roman" w:cs="Times New Roman"/>
          <w:b/>
          <w:lang w:val="hu-HU" w:eastAsia="zh-CN"/>
        </w:rPr>
        <w:t xml:space="preserve">Teljes becsült idő </w:t>
      </w:r>
      <w:r w:rsidR="006F6533" w:rsidRPr="007C77AA">
        <w:rPr>
          <w:rFonts w:ascii="Times New Roman" w:eastAsia="Times New Roman" w:hAnsi="Times New Roman" w:cs="Times New Roman"/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7C77AA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7C77AA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3.1.</w:t>
            </w:r>
            <w:r w:rsidR="000453A3" w:rsidRPr="007C77AA">
              <w:rPr>
                <w:rFonts w:ascii="Times New Roman" w:hAnsi="Times New Roman" w:cs="Times New Roman"/>
                <w:lang w:val="hu-HU"/>
              </w:rPr>
              <w:t xml:space="preserve"> </w:t>
            </w:r>
            <w:r w:rsidR="000453A3"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Heti óraszám </w:t>
            </w: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79D11EAE" w:rsidR="002D19B2" w:rsidRPr="007C77AA" w:rsidRDefault="00FB273C" w:rsidP="00E703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7C77AA" w:rsidRDefault="001C0ABE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20A4E8DC" w:rsidR="002D19B2" w:rsidRPr="007C77AA" w:rsidRDefault="00635D9F" w:rsidP="00E703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7C77AA" w:rsidRDefault="00EB79B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3.3 szeminárium/labor</w:t>
            </w:r>
            <w:r w:rsidR="00CA31D8" w:rsidRPr="007C77AA">
              <w:rPr>
                <w:rFonts w:ascii="Times New Roman" w:eastAsia="Times New Roman" w:hAnsi="Times New Roman" w:cs="Times New Roman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7919DC7D" w:rsidR="002D19B2" w:rsidRPr="007C77AA" w:rsidRDefault="00FB273C" w:rsidP="00E703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1</w:t>
            </w:r>
          </w:p>
        </w:tc>
      </w:tr>
      <w:tr w:rsidR="004E578B" w:rsidRPr="007C77AA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7C77AA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3.4. </w:t>
            </w:r>
            <w:r w:rsidR="00C93E7A" w:rsidRPr="007C77AA">
              <w:rPr>
                <w:rFonts w:ascii="Times New Roman" w:eastAsia="Times New Roman" w:hAnsi="Times New Roman" w:cs="Times New Roman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5ADDC61C" w:rsidR="004E578B" w:rsidRPr="007C77AA" w:rsidRDefault="00FB273C" w:rsidP="00E703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7C77AA" w:rsidRDefault="001C0ABE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3283BFAE" w:rsidR="004E578B" w:rsidRPr="007C77AA" w:rsidRDefault="00635D9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7C77AA" w:rsidRDefault="004E578B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Cs/>
                <w:lang w:val="hu-HU" w:eastAsia="zh-CN"/>
              </w:rPr>
              <w:t xml:space="preserve">3.6 </w:t>
            </w:r>
            <w:r w:rsidR="00EB79BF" w:rsidRPr="007C77AA">
              <w:rPr>
                <w:rFonts w:ascii="Times New Roman" w:eastAsia="Times New Roman" w:hAnsi="Times New Roman" w:cs="Times New Roman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3E7AFFE" w:rsidR="004E578B" w:rsidRPr="007C77AA" w:rsidRDefault="00FB273C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14</w:t>
            </w:r>
          </w:p>
        </w:tc>
      </w:tr>
      <w:tr w:rsidR="00117B5A" w:rsidRPr="007C77AA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7C77AA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A</w:t>
            </w:r>
            <w:r w:rsidR="006A0243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z </w:t>
            </w:r>
            <w:r w:rsidR="00995E0D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egyéni</w:t>
            </w:r>
            <w:r w:rsidR="006A0243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 </w:t>
            </w: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tanulmányi </w:t>
            </w:r>
            <w:r w:rsidR="006A0243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idő (</w:t>
            </w:r>
            <w:r w:rsidR="00995E0D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E</w:t>
            </w:r>
            <w:r w:rsidR="006A0243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T) és az önképzési tevékenységekre</w:t>
            </w:r>
            <w:r w:rsidR="00F8066B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 (ÖT)</w:t>
            </w:r>
            <w:r w:rsidR="006A0243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 szánt idő </w:t>
            </w: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7C77AA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óra</w:t>
            </w:r>
          </w:p>
        </w:tc>
      </w:tr>
      <w:tr w:rsidR="00117B5A" w:rsidRPr="007C77AA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7C77AA" w:rsidRDefault="00AB0693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42DFB6F8" w:rsidR="00117B5A" w:rsidRPr="007C77AA" w:rsidRDefault="00FB273C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15</w:t>
            </w:r>
          </w:p>
        </w:tc>
      </w:tr>
      <w:tr w:rsidR="00117B5A" w:rsidRPr="007C77AA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7C77AA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69D8B7E" w:rsidR="00117B5A" w:rsidRPr="007C77AA" w:rsidRDefault="00FB273C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17</w:t>
            </w:r>
          </w:p>
        </w:tc>
      </w:tr>
      <w:tr w:rsidR="00117B5A" w:rsidRPr="007C77AA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0B3AC5D" w:rsidR="00117B5A" w:rsidRPr="007C77AA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0EA50E67" w:rsidR="00117B5A" w:rsidRPr="007C77AA" w:rsidRDefault="00FB273C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12</w:t>
            </w:r>
          </w:p>
        </w:tc>
      </w:tr>
      <w:tr w:rsidR="00117B5A" w:rsidRPr="007C77AA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7C77AA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79593F6E" w:rsidR="00117B5A" w:rsidRPr="007C77AA" w:rsidRDefault="00635D9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5</w:t>
            </w:r>
          </w:p>
        </w:tc>
      </w:tr>
      <w:tr w:rsidR="00117B5A" w:rsidRPr="007C77AA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7C77AA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1C344259" w:rsidR="00117B5A" w:rsidRPr="007C77AA" w:rsidRDefault="00FB273C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lang w:val="hu-HU" w:eastAsia="zh-CN"/>
              </w:rPr>
              <w:t>4</w:t>
            </w:r>
          </w:p>
        </w:tc>
      </w:tr>
      <w:tr w:rsidR="00117B5A" w:rsidRPr="007C77AA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171975D" w:rsidR="00117B5A" w:rsidRPr="007C77AA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Más tevékenységek:</w:t>
            </w:r>
            <w:r w:rsidR="00117B5A"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 </w:t>
            </w:r>
            <w:r w:rsidR="00635D9F" w:rsidRPr="007C77AA">
              <w:rPr>
                <w:rFonts w:ascii="Times New Roman" w:eastAsia="Times New Roman" w:hAnsi="Times New Roman" w:cs="Times New Roman"/>
                <w:lang w:val="hu-HU" w:eastAsia="zh-CN"/>
              </w:rPr>
              <w:t>kétirányú kommunikáció a tantárgy oktatójával</w:t>
            </w:r>
          </w:p>
        </w:tc>
        <w:tc>
          <w:tcPr>
            <w:tcW w:w="567" w:type="dxa"/>
            <w:vAlign w:val="center"/>
          </w:tcPr>
          <w:p w14:paraId="18E004A9" w14:textId="0095C222" w:rsidR="00117B5A" w:rsidRPr="007C77AA" w:rsidRDefault="00635D9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5</w:t>
            </w:r>
          </w:p>
        </w:tc>
      </w:tr>
      <w:tr w:rsidR="00117B5A" w:rsidRPr="007C77AA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7C77AA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3.7. </w:t>
            </w:r>
            <w:r w:rsidR="00A67D09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Egyéni tanulmányi idő (ET) és önképzési tevékenységekre (ÖT) szánt idő </w:t>
            </w:r>
            <w:r w:rsidR="00793F1F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4E8123DF" w:rsidR="00117B5A" w:rsidRPr="007C77AA" w:rsidRDefault="00FB273C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58</w:t>
            </w:r>
          </w:p>
        </w:tc>
      </w:tr>
      <w:tr w:rsidR="004D2236" w:rsidRPr="007C77AA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7C77AA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3.8. </w:t>
            </w:r>
            <w:r w:rsidR="00F52FD8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3E0C1E0C" w:rsidR="004D2236" w:rsidRPr="007C77AA" w:rsidRDefault="00635D9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1</w:t>
            </w:r>
            <w:r w:rsidR="00FB273C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00</w:t>
            </w:r>
          </w:p>
        </w:tc>
      </w:tr>
      <w:tr w:rsidR="004D2236" w:rsidRPr="007C77AA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7C77AA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3.</w:t>
            </w:r>
            <w:r w:rsidR="005B66A9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9</w:t>
            </w: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 xml:space="preserve">. </w:t>
            </w:r>
            <w:r w:rsidR="00032212"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3F7647A2" w:rsidR="004D2236" w:rsidRPr="007C77AA" w:rsidRDefault="00635D9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b/>
                <w:lang w:val="hu-HU" w:eastAsia="zh-CN"/>
              </w:rPr>
              <w:t>4</w:t>
            </w:r>
          </w:p>
        </w:tc>
      </w:tr>
    </w:tbl>
    <w:p w14:paraId="61963589" w14:textId="77777777" w:rsidR="00DE6B49" w:rsidRPr="007C77AA" w:rsidRDefault="00DE6B49" w:rsidP="002933BE">
      <w:pPr>
        <w:suppressAutoHyphens/>
        <w:spacing w:after="0"/>
        <w:ind w:left="-284"/>
        <w:jc w:val="both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7F75857F" w14:textId="555A18CE" w:rsidR="00DE6B49" w:rsidRPr="007C77AA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lang w:val="hu-HU" w:eastAsia="zh-CN"/>
        </w:rPr>
      </w:pPr>
      <w:r w:rsidRPr="007C77AA">
        <w:rPr>
          <w:rFonts w:ascii="Times New Roman" w:eastAsia="Times New Roman" w:hAnsi="Times New Roman" w:cs="Times New Roman"/>
          <w:b/>
          <w:lang w:val="hu-HU" w:eastAsia="zh-CN"/>
        </w:rPr>
        <w:t xml:space="preserve">4. </w:t>
      </w:r>
      <w:r w:rsidR="00063EAD" w:rsidRPr="007C77AA">
        <w:rPr>
          <w:rFonts w:ascii="Times New Roman" w:eastAsia="Times New Roman" w:hAnsi="Times New Roman" w:cs="Times New Roman"/>
          <w:b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C77AA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7C77AA" w:rsidRDefault="00221B6D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4.1. </w:t>
            </w:r>
            <w:r w:rsidR="00DC7176" w:rsidRPr="007C77AA">
              <w:rPr>
                <w:rFonts w:ascii="Times New Roman" w:eastAsia="Times New Roman" w:hAnsi="Times New Roman" w:cs="Times New Roman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37A6EC4A" w:rsidR="00221B6D" w:rsidRPr="007C77AA" w:rsidRDefault="00635D9F" w:rsidP="00E703A6">
            <w:pPr>
              <w:suppressAutoHyphens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-</w:t>
            </w:r>
          </w:p>
        </w:tc>
      </w:tr>
      <w:tr w:rsidR="00221B6D" w:rsidRPr="007C77AA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7C77AA" w:rsidRDefault="00221B6D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4.2. </w:t>
            </w:r>
            <w:r w:rsidR="00B833AD" w:rsidRPr="007C77AA">
              <w:rPr>
                <w:rFonts w:ascii="Times New Roman" w:eastAsia="Times New Roman" w:hAnsi="Times New Roman" w:cs="Times New Roman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19C3B5F1" w:rsidR="00221B6D" w:rsidRPr="007C77AA" w:rsidRDefault="00635D9F" w:rsidP="00E703A6">
            <w:pPr>
              <w:suppressAutoHyphens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>-</w:t>
            </w:r>
          </w:p>
        </w:tc>
      </w:tr>
    </w:tbl>
    <w:p w14:paraId="3B1A6A87" w14:textId="77777777" w:rsidR="00DE6B49" w:rsidRPr="007C77AA" w:rsidRDefault="00DE6B49" w:rsidP="002933BE">
      <w:pPr>
        <w:suppressAutoHyphens/>
        <w:spacing w:after="0"/>
        <w:ind w:right="-765" w:hanging="425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0587E22E" w14:textId="2775DF30" w:rsidR="008E6D88" w:rsidRPr="007C77AA" w:rsidRDefault="008E6D88" w:rsidP="00E703A6">
      <w:pPr>
        <w:suppressAutoHyphens/>
        <w:spacing w:after="0" w:line="240" w:lineRule="auto"/>
        <w:ind w:hanging="426"/>
        <w:rPr>
          <w:rFonts w:ascii="Times New Roman" w:hAnsi="Times New Roman" w:cs="Times New Roman"/>
          <w:lang w:val="hu-HU"/>
        </w:rPr>
      </w:pPr>
      <w:r w:rsidRPr="007C77AA">
        <w:rPr>
          <w:rFonts w:ascii="Times New Roman" w:eastAsia="Times New Roman" w:hAnsi="Times New Roman" w:cs="Times New Roman"/>
          <w:b/>
          <w:lang w:val="hu-HU" w:eastAsia="zh-CN"/>
        </w:rPr>
        <w:t xml:space="preserve">5. </w:t>
      </w:r>
      <w:r w:rsidR="008A0887" w:rsidRPr="007C77AA">
        <w:rPr>
          <w:rFonts w:ascii="Times New Roman" w:eastAsia="Times New Roman" w:hAnsi="Times New Roman" w:cs="Times New Roman"/>
          <w:b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7C77AA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7C77AA" w:rsidRDefault="00844EAD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5.1. </w:t>
            </w:r>
            <w:r w:rsidR="005D597C" w:rsidRPr="007C77AA">
              <w:rPr>
                <w:rFonts w:ascii="Times New Roman" w:eastAsia="Times New Roman" w:hAnsi="Times New Roman" w:cs="Times New Roman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6A9ED553" w:rsidR="00844EAD" w:rsidRPr="007C77AA" w:rsidRDefault="00635D9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hAnsi="Times New Roman" w:cs="Times New Roman"/>
              </w:rPr>
              <w:t>Projektorral felszerelt tanterem, az egyes témák feldolgozásához szükséges infrastruktúra (videóprojektor, laptop, internetkapcsolat), nyomtatott vagy elektronikus bibliográfiai anyagok, valamint az MS Teams platform.</w:t>
            </w:r>
          </w:p>
        </w:tc>
      </w:tr>
      <w:tr w:rsidR="00844EAD" w:rsidRPr="007C77AA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7C77AA" w:rsidRDefault="00844EAD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eastAsia="Times New Roman" w:hAnsi="Times New Roman" w:cs="Times New Roman"/>
                <w:lang w:val="hu-HU" w:eastAsia="zh-CN"/>
              </w:rPr>
              <w:t xml:space="preserve">5.2. </w:t>
            </w:r>
            <w:r w:rsidR="00AA09AA" w:rsidRPr="007C77AA">
              <w:rPr>
                <w:rFonts w:ascii="Times New Roman" w:eastAsia="Times New Roman" w:hAnsi="Times New Roman" w:cs="Times New Roman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137E75D5" w:rsidR="00844EAD" w:rsidRPr="007C77AA" w:rsidRDefault="00635D9F" w:rsidP="00E703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hu-HU" w:eastAsia="zh-CN"/>
              </w:rPr>
            </w:pPr>
            <w:r w:rsidRPr="007C77AA">
              <w:rPr>
                <w:rFonts w:ascii="Times New Roman" w:hAnsi="Times New Roman" w:cs="Times New Roman"/>
              </w:rPr>
              <w:t>Az egyes témák feldolgozásához szükséges infrastruktúra (videóprojektor, laptop, internetkapcsolat), nyomtatott vagy elektronikus formában hozzáférhető olvasmányok és elemzendő anyagok, valamint az MS Teams platform. A szemináriumon való részvétel kötelező.</w:t>
            </w:r>
          </w:p>
        </w:tc>
      </w:tr>
    </w:tbl>
    <w:p w14:paraId="2C5ECBCD" w14:textId="77777777" w:rsidR="00F42F9F" w:rsidRPr="007C77AA" w:rsidRDefault="00F42F9F" w:rsidP="00E703A6">
      <w:pPr>
        <w:suppressAutoHyphens/>
        <w:spacing w:after="0" w:line="240" w:lineRule="auto"/>
        <w:ind w:hanging="426"/>
        <w:rPr>
          <w:rFonts w:ascii="Times New Roman" w:eastAsia="Times New Roman" w:hAnsi="Times New Roman" w:cs="Times New Roman"/>
          <w:b/>
          <w:lang w:val="hu-HU" w:eastAsia="zh-CN"/>
        </w:rPr>
      </w:pPr>
    </w:p>
    <w:p w14:paraId="5D625553" w14:textId="77777777" w:rsidR="000B6EB1" w:rsidRPr="007C77AA" w:rsidRDefault="000B6EB1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10DDBB56" w14:textId="77777777" w:rsidR="005D5468" w:rsidRPr="007C77AA" w:rsidRDefault="005D5468" w:rsidP="00E703A6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</w:p>
    <w:p w14:paraId="778FDF1F" w14:textId="192739B6" w:rsidR="00AB0DE7" w:rsidRPr="007C77AA" w:rsidRDefault="00AB0DE7" w:rsidP="00E703A6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  <w:r w:rsidRPr="007C77AA">
        <w:rPr>
          <w:rFonts w:ascii="Times New Roman" w:hAnsi="Times New Roman" w:cs="Times New Roman"/>
          <w:b/>
          <w:lang w:val="hu-HU"/>
        </w:rPr>
        <w:t xml:space="preserve">6. </w:t>
      </w:r>
      <w:r w:rsidR="003A480A" w:rsidRPr="007C77AA">
        <w:rPr>
          <w:rFonts w:ascii="Times New Roman" w:hAnsi="Times New Roman" w:cs="Times New Roman"/>
          <w:b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7C77AA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7C77AA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7C77AA">
              <w:rPr>
                <w:rFonts w:ascii="Times New Roman" w:hAnsi="Times New Roman" w:cs="Times New Roman"/>
                <w:b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3C436722" w14:textId="62CD3E76" w:rsidR="000B7D0D" w:rsidRPr="007C77AA" w:rsidRDefault="00BF4DEE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>A hallgató ismeri</w:t>
            </w:r>
            <w:r w:rsidR="004504A2" w:rsidRPr="007C77AA">
              <w:rPr>
                <w:rFonts w:ascii="Times New Roman" w:hAnsi="Times New Roman" w:cs="Times New Roman"/>
                <w:lang w:val="hu-HU"/>
              </w:rPr>
              <w:t>:</w:t>
            </w:r>
          </w:p>
          <w:p w14:paraId="4E6CF276" w14:textId="77777777" w:rsidR="004504A2" w:rsidRPr="007C77AA" w:rsidRDefault="004504A2" w:rsidP="004504A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/>
              </w:rPr>
            </w:pPr>
            <w:r w:rsidRPr="007C77AA">
              <w:rPr>
                <w:rFonts w:ascii="Times New Roman" w:hAnsi="Times New Roman" w:cs="Times New Roman"/>
              </w:rPr>
              <w:t xml:space="preserve">a dramaturgia fogalmát és történeti fejlődését a német színházi hagyományban, Gotthold Ephraim Lessingtől és a </w:t>
            </w:r>
            <w:r w:rsidRPr="007C77AA">
              <w:rPr>
                <w:rStyle w:val="Kiemels"/>
                <w:rFonts w:ascii="Times New Roman" w:hAnsi="Times New Roman" w:cs="Times New Roman"/>
              </w:rPr>
              <w:t>Hamburgische Dramaturgie</w:t>
            </w:r>
            <w:r w:rsidRPr="007C77AA">
              <w:rPr>
                <w:rFonts w:ascii="Times New Roman" w:hAnsi="Times New Roman" w:cs="Times New Roman"/>
              </w:rPr>
              <w:t xml:space="preserve"> modelljétől a kortárs német repertoárszínház dramaturgiai gyakorlatáig; </w:t>
            </w:r>
          </w:p>
          <w:p w14:paraId="449E6931" w14:textId="77777777" w:rsidR="004504A2" w:rsidRPr="007C77AA" w:rsidRDefault="004504A2" w:rsidP="004504A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a dramaturg különböző funkcióit és feladatköreit a német színházi rendszerben (Produktionsdramaturg, Spieldramaturg, Chefdramaturg); </w:t>
            </w:r>
          </w:p>
          <w:p w14:paraId="0C364BDB" w14:textId="77777777" w:rsidR="004504A2" w:rsidRPr="007C77AA" w:rsidRDefault="004504A2" w:rsidP="004504A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a dramaturgiai munka alapvető folyamatait és dokumentumait, beleértve a szövegelemzést, a koncepcióalkotást, a kutatómunkát és a műsorfüzet-készítést; </w:t>
            </w:r>
          </w:p>
          <w:p w14:paraId="1A08B5E0" w14:textId="77777777" w:rsidR="004504A2" w:rsidRPr="007C77AA" w:rsidRDefault="004504A2" w:rsidP="004504A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a német színházi gondolkodás meghatározó esztétikai modelljeit, különös tekintettel a zárt és nyitott drámai formára, a brechti színházra, a rendezői színházra és a posztdramatikus színházra; </w:t>
            </w:r>
          </w:p>
          <w:p w14:paraId="5B361762" w14:textId="77777777" w:rsidR="004504A2" w:rsidRPr="007C77AA" w:rsidRDefault="004504A2" w:rsidP="004504A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a német színházi kultúra meghatározó intézményeit és szakmai szervezeteit, valamint azok szerepét a kortárs színházi gyakorlat alakításában. </w:t>
            </w:r>
          </w:p>
          <w:p w14:paraId="51D6836E" w14:textId="1DB038E0" w:rsidR="004504A2" w:rsidRPr="007C77AA" w:rsidRDefault="004504A2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0B7D0D" w:rsidRPr="007C77AA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7C77AA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val="hu-HU"/>
              </w:rPr>
            </w:pPr>
            <w:r w:rsidRPr="007C77AA">
              <w:rPr>
                <w:rFonts w:ascii="Times New Roman" w:hAnsi="Times New Roman" w:cs="Times New Roman"/>
                <w:b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7D87706" w14:textId="77777777" w:rsidR="004504A2" w:rsidRPr="007C77AA" w:rsidRDefault="004504A2" w:rsidP="004504A2">
            <w:pPr>
              <w:pStyle w:val="NormlWeb"/>
            </w:pPr>
            <w:r w:rsidRPr="007C77AA">
              <w:t>A hallgató képes:</w:t>
            </w:r>
          </w:p>
          <w:p w14:paraId="765B1A1C" w14:textId="77777777" w:rsidR="004504A2" w:rsidRPr="007C77AA" w:rsidRDefault="004504A2" w:rsidP="004504A2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drámai szövegek dramaturgiai elemzésére, a téma, a konfliktus, a szerkezet, az intertextuális kapcsolatok és a színpadi potenciál vizsgálatára; </w:t>
            </w:r>
          </w:p>
          <w:p w14:paraId="2005AAD2" w14:textId="77777777" w:rsidR="004504A2" w:rsidRPr="007C77AA" w:rsidRDefault="004504A2" w:rsidP="004504A2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alapvető dramaturgiai dokumentumok elkészítésére, például olvasónapló, dramaturgiai jegyzet, kutatási dosszié vagy műsorfüzet-szöveg formájában; </w:t>
            </w:r>
          </w:p>
          <w:p w14:paraId="1476FD81" w14:textId="77777777" w:rsidR="004504A2" w:rsidRPr="007C77AA" w:rsidRDefault="004504A2" w:rsidP="004504A2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repertoárválasztási és adaptációs döntések szakmai érvekkel történő alátámasztására, a német dramaturgiai szaknyelv alapfogalmainak alkalmazásával; </w:t>
            </w:r>
          </w:p>
          <w:p w14:paraId="33E7EEB8" w14:textId="77777777" w:rsidR="004504A2" w:rsidRPr="007C77AA" w:rsidRDefault="004504A2" w:rsidP="004504A2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dramaturgiai szempontok érvényesítésére az alkotófolyamat során, valamint együttműködésre rendezőkkel és színészekkel; </w:t>
            </w:r>
          </w:p>
          <w:p w14:paraId="63BDCCCD" w14:textId="77777777" w:rsidR="004504A2" w:rsidRPr="007C77AA" w:rsidRDefault="004504A2" w:rsidP="004504A2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alapvető színháztudományi kutatási módszerek alkalmazására, különös tekintettel az archívumi kutatásra, az előadáselemzésre és a kontextuális vizsgálatra.</w:t>
            </w:r>
          </w:p>
          <w:p w14:paraId="694E9197" w14:textId="01E39259" w:rsidR="000B7D0D" w:rsidRPr="007C77AA" w:rsidRDefault="000B7D0D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0B7D0D" w:rsidRPr="007C77AA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7C77AA" w:rsidRDefault="00247A61" w:rsidP="00E703A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b/>
                <w:lang w:val="hu-HU"/>
              </w:rPr>
              <w:lastRenderedPageBreak/>
              <w:t>Felelősség és önállóság</w:t>
            </w:r>
          </w:p>
        </w:tc>
        <w:tc>
          <w:tcPr>
            <w:tcW w:w="9781" w:type="dxa"/>
            <w:vAlign w:val="center"/>
          </w:tcPr>
          <w:p w14:paraId="70C75297" w14:textId="77777777" w:rsidR="004504A2" w:rsidRPr="007C77AA" w:rsidRDefault="004504A2" w:rsidP="004504A2">
            <w:pPr>
              <w:pStyle w:val="NormlWeb"/>
            </w:pPr>
            <w:r w:rsidRPr="007C77AA">
              <w:t>A hallgató képes önállóan:</w:t>
            </w:r>
          </w:p>
          <w:p w14:paraId="29B84CA3" w14:textId="77777777" w:rsidR="004504A2" w:rsidRPr="007C77AA" w:rsidRDefault="004504A2" w:rsidP="004504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dramaturgiai dokumentációt összeállítani a tudományos és szakmai normák, valamint a szerzői jogi előírások figyelembevételével; </w:t>
            </w:r>
          </w:p>
          <w:p w14:paraId="1E60E4B4" w14:textId="77777777" w:rsidR="004504A2" w:rsidRPr="007C77AA" w:rsidRDefault="004504A2" w:rsidP="004504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egy színházi vagy dramaturgiai projekt kutatási anyagának kiválasztására, rendszerezésére és feldolgozására; </w:t>
            </w:r>
          </w:p>
          <w:p w14:paraId="06329EEB" w14:textId="77777777" w:rsidR="004504A2" w:rsidRPr="007C77AA" w:rsidRDefault="004504A2" w:rsidP="004504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saját elemző és értelmező munkájának kritikai értékelésére, valamint a szakmai visszajelzések beépítésére; </w:t>
            </w:r>
          </w:p>
          <w:p w14:paraId="5F074276" w14:textId="77777777" w:rsidR="004504A2" w:rsidRPr="007C77AA" w:rsidRDefault="004504A2" w:rsidP="004504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önálló dramaturgiai kutatási kérdések megfogalmazására és azok szakmailag megalapozott vizsgálatára; </w:t>
            </w:r>
          </w:p>
          <w:p w14:paraId="348D7F56" w14:textId="77777777" w:rsidR="004504A2" w:rsidRPr="007C77AA" w:rsidRDefault="004504A2" w:rsidP="004504A2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felelősen ellátni a dramaturg közvetítő szerepét a szöveg, az alkotói folyamat és a befogadó közönség között.</w:t>
            </w:r>
          </w:p>
          <w:p w14:paraId="2891E739" w14:textId="6EACA874" w:rsidR="000B7D0D" w:rsidRPr="007C77AA" w:rsidRDefault="000B7D0D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3696EE33" w14:textId="77777777" w:rsidR="00996E5F" w:rsidRPr="007C77AA" w:rsidRDefault="00996E5F" w:rsidP="00CD486E">
      <w:pPr>
        <w:spacing w:after="0" w:line="240" w:lineRule="auto"/>
        <w:rPr>
          <w:rFonts w:ascii="Times New Roman" w:hAnsi="Times New Roman" w:cs="Times New Roman"/>
          <w:b/>
          <w:lang w:val="hu-HU"/>
        </w:rPr>
      </w:pPr>
    </w:p>
    <w:p w14:paraId="7B03E77D" w14:textId="1A9B11BA" w:rsidR="003F481E" w:rsidRPr="007C77AA" w:rsidRDefault="003F481E" w:rsidP="00E703A6">
      <w:pPr>
        <w:spacing w:after="0" w:line="240" w:lineRule="auto"/>
        <w:ind w:hanging="425"/>
        <w:rPr>
          <w:rFonts w:ascii="Times New Roman" w:hAnsi="Times New Roman" w:cs="Times New Roman"/>
          <w:lang w:val="hu-HU"/>
        </w:rPr>
      </w:pPr>
      <w:r w:rsidRPr="007C77AA">
        <w:rPr>
          <w:rFonts w:ascii="Times New Roman" w:hAnsi="Times New Roman" w:cs="Times New Roman"/>
          <w:b/>
          <w:lang w:val="hu-HU"/>
        </w:rPr>
        <w:t xml:space="preserve">7. </w:t>
      </w:r>
      <w:r w:rsidR="0094452F" w:rsidRPr="007C77AA">
        <w:rPr>
          <w:rFonts w:ascii="Times New Roman" w:hAnsi="Times New Roman" w:cs="Times New Roman"/>
          <w:b/>
          <w:lang w:val="hu-HU"/>
        </w:rPr>
        <w:t xml:space="preserve">A tantárgy célkitűzései </w:t>
      </w:r>
      <w:r w:rsidR="0094452F" w:rsidRPr="007C77AA">
        <w:rPr>
          <w:rFonts w:ascii="Times New Roman" w:hAnsi="Times New Roman" w:cs="Times New Roman"/>
          <w:bCs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7C77AA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7C77AA" w:rsidRDefault="00CA412A" w:rsidP="00E703A6">
            <w:pPr>
              <w:spacing w:after="0" w:line="240" w:lineRule="auto"/>
              <w:rPr>
                <w:rFonts w:ascii="Times New Roman" w:hAnsi="Times New Roman" w:cs="Times New Roman"/>
                <w:bCs/>
                <w:lang w:val="hu-HU"/>
              </w:rPr>
            </w:pPr>
            <w:r w:rsidRPr="007C77AA">
              <w:rPr>
                <w:rFonts w:ascii="Times New Roman" w:hAnsi="Times New Roman" w:cs="Times New Roman"/>
                <w:bCs/>
                <w:lang w:val="hu-HU"/>
              </w:rPr>
              <w:t xml:space="preserve">7.1 </w:t>
            </w:r>
            <w:r w:rsidR="005A565B" w:rsidRPr="007C77AA">
              <w:rPr>
                <w:rFonts w:ascii="Times New Roman" w:hAnsi="Times New Roman" w:cs="Times New Roman"/>
                <w:bCs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047898B8" w:rsidR="0083358D" w:rsidRPr="007C77AA" w:rsidRDefault="004504A2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A német színházi hagyomány dramaturgiai gondolkodásának, intézményrendszerének és szakmai gyakorlatának megismertetése, különös tekintettel a dramaturg szerepére, feladataira és munkamódszereire, valamint azok kritikai alkalmazására a kortárs színházi és teatrológiai kontextusban.</w:t>
            </w:r>
          </w:p>
        </w:tc>
      </w:tr>
      <w:tr w:rsidR="0083358D" w:rsidRPr="007C77AA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7C77AA" w:rsidRDefault="00694E26" w:rsidP="00E703A6">
            <w:pPr>
              <w:spacing w:after="0" w:line="240" w:lineRule="auto"/>
              <w:rPr>
                <w:rFonts w:ascii="Times New Roman" w:hAnsi="Times New Roman" w:cs="Times New Roman"/>
                <w:bCs/>
                <w:lang w:val="hu-HU"/>
              </w:rPr>
            </w:pPr>
            <w:r w:rsidRPr="007C77AA">
              <w:rPr>
                <w:rFonts w:ascii="Times New Roman" w:hAnsi="Times New Roman" w:cs="Times New Roman"/>
                <w:bCs/>
                <w:lang w:val="hu-HU"/>
              </w:rPr>
              <w:t xml:space="preserve">7.2 </w:t>
            </w:r>
            <w:r w:rsidR="007550B0" w:rsidRPr="007C77AA">
              <w:rPr>
                <w:rFonts w:ascii="Times New Roman" w:hAnsi="Times New Roman" w:cs="Times New Roman"/>
                <w:bCs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777133C4" w14:textId="77777777" w:rsidR="004504A2" w:rsidRPr="007C77AA" w:rsidRDefault="004504A2" w:rsidP="004504A2">
            <w:pPr>
              <w:rPr>
                <w:rFonts w:ascii="Times New Roman" w:hAnsi="Times New Roman" w:cs="Times New Roman"/>
                <w:lang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 német dramaturgiai hagyomány meghatározó elméleti és gyakorlati modelljeinek megismerése Lessingtől a kortárs posztdramatikus színházig. </w:t>
            </w:r>
          </w:p>
          <w:p w14:paraId="4CDBDCBE" w14:textId="77777777" w:rsidR="004504A2" w:rsidRPr="007C77AA" w:rsidRDefault="004504A2" w:rsidP="004504A2">
            <w:pPr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 dramaturg szerepkörének, feladatainak és munkafolyamatainak értelmezése különböző színházi struktúrákban és esztétikai paradigmákban. </w:t>
            </w:r>
          </w:p>
          <w:p w14:paraId="29B03D11" w14:textId="77777777" w:rsidR="004504A2" w:rsidRPr="007C77AA" w:rsidRDefault="004504A2" w:rsidP="004504A2">
            <w:pPr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 drámai és színházi szövegek dramaturgiai elemzéséhez szükséges alapvető fogalmi és módszertani eszköztár elsajátítása. </w:t>
            </w:r>
          </w:p>
          <w:p w14:paraId="6923790F" w14:textId="77777777" w:rsidR="004504A2" w:rsidRPr="007C77AA" w:rsidRDefault="004504A2" w:rsidP="004504A2">
            <w:pPr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 pszichológiai realizmus, a brechti színház és a posztdramatikus színház dramaturgiai sajátosságainak összehasonlító vizsgálata. </w:t>
            </w:r>
          </w:p>
          <w:p w14:paraId="10E82405" w14:textId="77777777" w:rsidR="004504A2" w:rsidRPr="007C77AA" w:rsidRDefault="004504A2" w:rsidP="004504A2">
            <w:pPr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 dramaturgiai dokumentáció különböző formáinak (olvasónapló, dramaturgiai jegyzet, kutatási dosszié, műsorfüzet-szöveg) elkészítéséhez szükséges kompetenciák fejlesztése. </w:t>
            </w:r>
          </w:p>
          <w:p w14:paraId="34BA990D" w14:textId="77777777" w:rsidR="004504A2" w:rsidRPr="007C77AA" w:rsidRDefault="004504A2" w:rsidP="004504A2">
            <w:pPr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 színházi kutatás alapvető módszereinek alkalmazása, különös tekintettel a történeti, kulturális és intézményi kontextusok elemzésére. </w:t>
            </w:r>
          </w:p>
          <w:p w14:paraId="758E5B44" w14:textId="77777777" w:rsidR="004504A2" w:rsidRPr="007C77AA" w:rsidRDefault="004504A2" w:rsidP="004504A2">
            <w:pPr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 dramaturg szakmai kommunikációjához szükséges érvelési, prezentációs és együttműködési készségek fejlesztése. </w:t>
            </w:r>
          </w:p>
          <w:p w14:paraId="49C8C8EF" w14:textId="71502DD8" w:rsidR="0083358D" w:rsidRPr="007C77AA" w:rsidRDefault="004504A2" w:rsidP="004504A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  A dramaturg közvetítő szerepének tudatosítása az alkotói folyamat, a színházi intézmény és a közönség kapcsolatában.</w:t>
            </w:r>
          </w:p>
        </w:tc>
      </w:tr>
    </w:tbl>
    <w:p w14:paraId="08ACB65C" w14:textId="77777777" w:rsidR="0083358D" w:rsidRPr="007C77AA" w:rsidRDefault="0083358D" w:rsidP="00E703A6">
      <w:pPr>
        <w:spacing w:after="0" w:line="240" w:lineRule="auto"/>
        <w:ind w:hanging="426"/>
        <w:rPr>
          <w:rFonts w:ascii="Times New Roman" w:hAnsi="Times New Roman" w:cs="Times New Roman"/>
          <w:lang w:val="hu-HU"/>
        </w:rPr>
      </w:pPr>
    </w:p>
    <w:p w14:paraId="2B9894EA" w14:textId="77777777" w:rsidR="000277E2" w:rsidRPr="007C77AA" w:rsidRDefault="000277E2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64C08062" w14:textId="77777777" w:rsidR="000277E2" w:rsidRPr="007C77AA" w:rsidRDefault="000277E2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35F0BED8" w14:textId="77777777" w:rsidR="0045312D" w:rsidRPr="007C77AA" w:rsidRDefault="0045312D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550C8D78" w14:textId="1FEF1DEA" w:rsidR="00996E5F" w:rsidRPr="007C77AA" w:rsidRDefault="002A3A93" w:rsidP="00CD486E">
      <w:pPr>
        <w:spacing w:after="0" w:line="240" w:lineRule="auto"/>
        <w:ind w:hanging="425"/>
        <w:rPr>
          <w:rFonts w:ascii="Times New Roman" w:hAnsi="Times New Roman" w:cs="Times New Roman"/>
          <w:b/>
          <w:lang w:val="hu-HU"/>
        </w:rPr>
      </w:pPr>
      <w:r w:rsidRPr="007C77AA">
        <w:rPr>
          <w:rFonts w:ascii="Times New Roman" w:hAnsi="Times New Roman" w:cs="Times New Roman"/>
          <w:b/>
          <w:lang w:val="hu-HU"/>
        </w:rPr>
        <w:lastRenderedPageBreak/>
        <w:t>8</w:t>
      </w:r>
      <w:r w:rsidR="0084063D" w:rsidRPr="007C77AA">
        <w:rPr>
          <w:rFonts w:ascii="Times New Roman" w:hAnsi="Times New Roman" w:cs="Times New Roman"/>
          <w:b/>
          <w:lang w:val="hu-HU"/>
        </w:rPr>
        <w:t xml:space="preserve">. </w:t>
      </w:r>
      <w:r w:rsidR="00130C98" w:rsidRPr="007C77AA">
        <w:rPr>
          <w:rFonts w:ascii="Times New Roman" w:hAnsi="Times New Roman" w:cs="Times New Roman"/>
          <w:b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246"/>
        <w:gridCol w:w="2558"/>
      </w:tblGrid>
      <w:tr w:rsidR="002A3A93" w:rsidRPr="007C77AA" w14:paraId="5486D853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7C77AA" w:rsidRDefault="002A3A93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 xml:space="preserve">8.1 </w:t>
            </w:r>
            <w:r w:rsidR="001C6F32" w:rsidRPr="007C77AA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Előadás</w:t>
            </w:r>
          </w:p>
        </w:tc>
        <w:tc>
          <w:tcPr>
            <w:tcW w:w="4246" w:type="dxa"/>
            <w:vAlign w:val="center"/>
          </w:tcPr>
          <w:p w14:paraId="27721A81" w14:textId="34182D43" w:rsidR="002A3A93" w:rsidRPr="007C77AA" w:rsidRDefault="002F705C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Didaktikai módszerek</w:t>
            </w:r>
          </w:p>
        </w:tc>
        <w:tc>
          <w:tcPr>
            <w:tcW w:w="2558" w:type="dxa"/>
            <w:vAlign w:val="center"/>
          </w:tcPr>
          <w:p w14:paraId="5F6F867A" w14:textId="3D1FD71F" w:rsidR="002A3A93" w:rsidRPr="007C77AA" w:rsidRDefault="00E04E3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Megjegyzések</w:t>
            </w:r>
          </w:p>
        </w:tc>
      </w:tr>
      <w:tr w:rsidR="002A3A93" w:rsidRPr="007C77AA" w14:paraId="24407265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1A2FFF66" w:rsidR="002A3A93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Bevezetés a tantárgy tematikájába. A dramaturgia fogalma a német színházi hagyományban.</w:t>
            </w:r>
          </w:p>
        </w:tc>
        <w:tc>
          <w:tcPr>
            <w:tcW w:w="4246" w:type="dxa"/>
            <w:vAlign w:val="center"/>
          </w:tcPr>
          <w:p w14:paraId="4AEE5826" w14:textId="20777235" w:rsidR="002A3A93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magyarázat, irányított megbeszélés</w:t>
            </w:r>
          </w:p>
        </w:tc>
        <w:tc>
          <w:tcPr>
            <w:tcW w:w="2558" w:type="dxa"/>
            <w:vAlign w:val="center"/>
          </w:tcPr>
          <w:p w14:paraId="34B87A81" w14:textId="77777777" w:rsidR="002A3A93" w:rsidRPr="007C77AA" w:rsidRDefault="002A3A93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2A3A93" w:rsidRPr="007C77AA" w14:paraId="0B451E2D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42B55625" w:rsidR="002A3A93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A dramaturg szerepe a logocentrikus színházi modellben.</w:t>
            </w:r>
          </w:p>
        </w:tc>
        <w:tc>
          <w:tcPr>
            <w:tcW w:w="4246" w:type="dxa"/>
            <w:vAlign w:val="center"/>
          </w:tcPr>
          <w:p w14:paraId="2F417D16" w14:textId="18C4BAAB" w:rsidR="002A3A93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szövegelemzés, szemléltetés</w:t>
            </w:r>
          </w:p>
        </w:tc>
        <w:tc>
          <w:tcPr>
            <w:tcW w:w="2558" w:type="dxa"/>
            <w:vAlign w:val="center"/>
          </w:tcPr>
          <w:p w14:paraId="7E688862" w14:textId="77777777" w:rsidR="002A3A93" w:rsidRPr="007C77AA" w:rsidRDefault="002A3A93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2A3A93" w:rsidRPr="007C77AA" w14:paraId="047DE1FD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1FA57CBB" w:rsidR="002A3A93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A pszichológiai realizmus dramaturgiája I. A drámai szöveg és a szereplőépítés kérdései.</w:t>
            </w:r>
          </w:p>
        </w:tc>
        <w:tc>
          <w:tcPr>
            <w:tcW w:w="4246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76"/>
            </w:tblGrid>
            <w:tr w:rsidR="004504A2" w:rsidRPr="007C77AA" w14:paraId="647B89F5" w14:textId="77777777">
              <w:trPr>
                <w:tblCellSpacing w:w="15" w:type="dxa"/>
              </w:trPr>
              <w:tc>
                <w:tcPr>
                  <w:tcW w:w="3916" w:type="dxa"/>
                  <w:vAlign w:val="center"/>
                  <w:hideMark/>
                </w:tcPr>
                <w:p w14:paraId="793E421F" w14:textId="77777777" w:rsidR="004504A2" w:rsidRPr="007C77AA" w:rsidRDefault="004504A2" w:rsidP="004504A2">
                  <w:pPr>
                    <w:rPr>
                      <w:rFonts w:ascii="Times New Roman" w:hAnsi="Times New Roman" w:cs="Times New Roman"/>
                      <w:lang/>
                    </w:rPr>
                  </w:pPr>
                  <w:r w:rsidRPr="007C77AA">
                    <w:rPr>
                      <w:rFonts w:ascii="Times New Roman" w:hAnsi="Times New Roman" w:cs="Times New Roman"/>
                    </w:rPr>
                    <w:t>Előadás, elemzés, irányított megfigyelés</w:t>
                  </w:r>
                </w:p>
              </w:tc>
            </w:tr>
          </w:tbl>
          <w:p w14:paraId="72686F04" w14:textId="77777777" w:rsidR="004504A2" w:rsidRPr="007C77AA" w:rsidRDefault="004504A2" w:rsidP="004504A2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4504A2" w:rsidRPr="007C77AA" w14:paraId="31B366BB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2B77E5B0" w14:textId="77777777" w:rsidR="004504A2" w:rsidRPr="007C77AA" w:rsidRDefault="004504A2" w:rsidP="004504A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7BA7C53" w14:textId="77777777" w:rsidR="002A3A93" w:rsidRPr="007C77AA" w:rsidRDefault="002A3A93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  <w:tc>
          <w:tcPr>
            <w:tcW w:w="2558" w:type="dxa"/>
            <w:vAlign w:val="center"/>
          </w:tcPr>
          <w:p w14:paraId="68404402" w14:textId="77777777" w:rsidR="002A3A93" w:rsidRPr="007C77AA" w:rsidRDefault="002A3A93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2A3A93" w:rsidRPr="007C77AA" w14:paraId="30D75F9C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234A97BB" w:rsidR="002A3A93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A pszichológiai realizmus dramaturgiája II. Konfliktus, motiváció és drámai szerkezet.</w:t>
            </w:r>
          </w:p>
        </w:tc>
        <w:tc>
          <w:tcPr>
            <w:tcW w:w="4246" w:type="dxa"/>
            <w:vAlign w:val="center"/>
          </w:tcPr>
          <w:p w14:paraId="536C28E5" w14:textId="50C1D3DD" w:rsidR="002A3A93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elemzés, irányított megfigyelés</w:t>
            </w:r>
          </w:p>
        </w:tc>
        <w:tc>
          <w:tcPr>
            <w:tcW w:w="2558" w:type="dxa"/>
            <w:vAlign w:val="center"/>
          </w:tcPr>
          <w:p w14:paraId="7769CC81" w14:textId="77777777" w:rsidR="002A3A93" w:rsidRPr="007C77AA" w:rsidRDefault="002A3A93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3F659E" w:rsidRPr="007C77AA" w14:paraId="004A8D06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3B3A04B0" w:rsidR="003F659E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A pszichológiai realizmus dramaturgiája III. A dramaturg feladatai a realista színházban.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52F49688" w:rsidR="003F659E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esettanulmány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7C77AA" w:rsidRDefault="003F659E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3F659E" w:rsidRPr="007C77AA" w14:paraId="3D0D45CE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7AB6745F" w:rsidR="003F659E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A pszichológiai realizmus dramaturgiája IV. A realista színházi hagyomány kortárs értelmezései.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39A726AC" w:rsidR="003F659E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elemzés, vita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7C77AA" w:rsidRDefault="003F659E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3F659E" w:rsidRPr="007C77AA" w14:paraId="245D3C71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5760BB4C" w:rsidR="003F659E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A brechti színház dramaturgiája I. Az epikus színház elméleti alapjai.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10"/>
            </w:tblGrid>
            <w:tr w:rsidR="004504A2" w:rsidRPr="007C77AA" w14:paraId="49671148" w14:textId="77777777">
              <w:trPr>
                <w:tblCellSpacing w:w="15" w:type="dxa"/>
              </w:trPr>
              <w:tc>
                <w:tcPr>
                  <w:tcW w:w="2350" w:type="dxa"/>
                  <w:vAlign w:val="center"/>
                  <w:hideMark/>
                </w:tcPr>
                <w:p w14:paraId="16FED611" w14:textId="77777777" w:rsidR="004504A2" w:rsidRPr="007C77AA" w:rsidRDefault="004504A2" w:rsidP="004504A2">
                  <w:pPr>
                    <w:rPr>
                      <w:rFonts w:ascii="Times New Roman" w:hAnsi="Times New Roman" w:cs="Times New Roman"/>
                      <w:lang/>
                    </w:rPr>
                  </w:pPr>
                  <w:r w:rsidRPr="007C77AA">
                    <w:rPr>
                      <w:rFonts w:ascii="Times New Roman" w:hAnsi="Times New Roman" w:cs="Times New Roman"/>
                    </w:rPr>
                    <w:t>Előadás, szövegelemzés</w:t>
                  </w:r>
                </w:p>
              </w:tc>
            </w:tr>
          </w:tbl>
          <w:p w14:paraId="120EDF76" w14:textId="77777777" w:rsidR="004504A2" w:rsidRPr="007C77AA" w:rsidRDefault="004504A2" w:rsidP="004504A2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4504A2" w:rsidRPr="007C77AA" w14:paraId="0019BCFE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F9F5F59" w14:textId="77777777" w:rsidR="004504A2" w:rsidRPr="007C77AA" w:rsidRDefault="004504A2" w:rsidP="004504A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B843CBD" w14:textId="77777777" w:rsidR="003F659E" w:rsidRPr="007C77AA" w:rsidRDefault="003F659E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7C77AA" w:rsidRDefault="003F659E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3F659E" w:rsidRPr="007C77AA" w14:paraId="05A36399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421E6DF9" w:rsidR="003F659E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A brechti színház dramaturgiája II. Elidegenítés, narrativitás és társadalomkritika.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05D77DFD" w:rsidR="003F659E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elemzés, szemléltetés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7C77AA" w:rsidRDefault="003F659E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504A2" w:rsidRPr="007C77AA" w14:paraId="6C27CE75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2891" w14:textId="1FAC5FAE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A brechti színház dramaturgiája III. A dramaturg szerepe az epikus színházban.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0C1B" w14:textId="16008CD3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esettanulmány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41F2" w14:textId="77777777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504A2" w:rsidRPr="007C77AA" w14:paraId="2AD4F7FF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1933" w14:textId="556D5C44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A posztdramatikus színház dramaturgiája I. A drámaszöveg státuszának átalakulása.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A246" w14:textId="12CEB0D7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elemzés, vita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5515" w14:textId="77777777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504A2" w:rsidRPr="007C77AA" w14:paraId="13E5B91B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0287" w14:textId="12575B58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A posztdramatikus színház dramaturgiája II. A dramaturg szerepének újraértelmezése a kortárs színházban.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6"/>
            </w:tblGrid>
            <w:tr w:rsidR="004504A2" w:rsidRPr="007C77AA" w14:paraId="126E3627" w14:textId="77777777">
              <w:trPr>
                <w:tblCellSpacing w:w="15" w:type="dxa"/>
              </w:trPr>
              <w:tc>
                <w:tcPr>
                  <w:tcW w:w="2296" w:type="dxa"/>
                  <w:vAlign w:val="center"/>
                  <w:hideMark/>
                </w:tcPr>
                <w:p w14:paraId="23125C5E" w14:textId="77777777" w:rsidR="004504A2" w:rsidRPr="007C77AA" w:rsidRDefault="004504A2" w:rsidP="004504A2">
                  <w:pPr>
                    <w:rPr>
                      <w:rFonts w:ascii="Times New Roman" w:hAnsi="Times New Roman" w:cs="Times New Roman"/>
                      <w:lang/>
                    </w:rPr>
                  </w:pPr>
                  <w:r w:rsidRPr="007C77AA">
                    <w:rPr>
                      <w:rFonts w:ascii="Times New Roman" w:hAnsi="Times New Roman" w:cs="Times New Roman"/>
                    </w:rPr>
                    <w:t>Előadás, esettanulmány</w:t>
                  </w:r>
                </w:p>
              </w:tc>
            </w:tr>
          </w:tbl>
          <w:p w14:paraId="29202BE5" w14:textId="77777777" w:rsidR="004504A2" w:rsidRPr="007C77AA" w:rsidRDefault="004504A2" w:rsidP="004504A2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4504A2" w:rsidRPr="007C77AA" w14:paraId="162F7926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240ACBC" w14:textId="77777777" w:rsidR="004504A2" w:rsidRPr="007C77AA" w:rsidRDefault="004504A2" w:rsidP="004504A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045F4B9" w14:textId="77777777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2478" w14:textId="77777777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4504A2" w:rsidRPr="007C77AA" w14:paraId="4ED9C4FB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EA50" w14:textId="26ADA2D1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Előadáselemzés I. Peter Stein: </w:t>
            </w:r>
            <w:r w:rsidRPr="007C77AA">
              <w:rPr>
                <w:rStyle w:val="Kiemels"/>
                <w:rFonts w:ascii="Times New Roman" w:hAnsi="Times New Roman" w:cs="Times New Roman"/>
              </w:rPr>
              <w:t>Három nővér</w:t>
            </w:r>
            <w:r w:rsidRPr="007C77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021E" w14:textId="08A574F4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előadáselemzés, vita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E08A" w14:textId="19D44B89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Kötelező megtekintés</w:t>
            </w:r>
          </w:p>
        </w:tc>
      </w:tr>
      <w:tr w:rsidR="004504A2" w:rsidRPr="007C77AA" w14:paraId="004D98BF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EA9" w14:textId="1DA7ECDD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Előadáselemzés II. Christoph Marthaler: </w:t>
            </w:r>
            <w:r w:rsidRPr="007C77AA">
              <w:rPr>
                <w:rStyle w:val="Kiemels"/>
                <w:rFonts w:ascii="Times New Roman" w:hAnsi="Times New Roman" w:cs="Times New Roman"/>
              </w:rPr>
              <w:t>Három nővér</w:t>
            </w:r>
            <w:r w:rsidRPr="007C77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538" w14:textId="7A9E9C33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Előadás, előadáselemzés, összehasonlító elemzés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776E" w14:textId="6B90D7E5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Kötelező megtekintés</w:t>
            </w:r>
          </w:p>
        </w:tc>
      </w:tr>
      <w:tr w:rsidR="004504A2" w:rsidRPr="007C77AA" w14:paraId="189B71EC" w14:textId="77777777" w:rsidTr="007C77AA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1559" w14:textId="440837CE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Összegzés: a dramaturg szerepének átalakulása a német színházi hagyományban a posztdramatikus esztétikáig.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ADE1" w14:textId="692F0D7B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  <w:r w:rsidRPr="007C77AA">
              <w:rPr>
                <w:rFonts w:ascii="Times New Roman" w:hAnsi="Times New Roman" w:cs="Times New Roman"/>
              </w:rPr>
              <w:t>Összegző előadás, rendszerezés, vita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7392" w14:textId="77777777" w:rsidR="004504A2" w:rsidRPr="007C77AA" w:rsidRDefault="004504A2" w:rsidP="00027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</w:pPr>
          </w:p>
        </w:tc>
      </w:tr>
      <w:tr w:rsidR="003F659E" w:rsidRPr="007C77AA" w14:paraId="6DEC7BC6" w14:textId="77777777" w:rsidTr="004504A2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568A53A" w14:textId="77777777" w:rsidR="003F659E" w:rsidRPr="007C77AA" w:rsidRDefault="00A57B1C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>Könyvészet</w:t>
            </w:r>
            <w:r w:rsidR="007C77AA" w:rsidRPr="007C77AA">
              <w:rPr>
                <w:rFonts w:ascii="Times New Roman" w:hAnsi="Times New Roman" w:cs="Times New Roman"/>
                <w:lang w:val="hu-HU"/>
              </w:rPr>
              <w:t>:</w:t>
            </w:r>
          </w:p>
          <w:p w14:paraId="5F6001E6" w14:textId="77777777" w:rsidR="007C77AA" w:rsidRPr="007C77AA" w:rsidRDefault="007C77AA" w:rsidP="007C77AA">
            <w:pPr>
              <w:pStyle w:val="NormlWeb"/>
            </w:pPr>
            <w:r w:rsidRPr="007C77AA">
              <w:t xml:space="preserve">Barthes, Roland: </w:t>
            </w:r>
            <w:r w:rsidRPr="007C77AA">
              <w:rPr>
                <w:rStyle w:val="Kiemels2"/>
                <w:rFonts w:eastAsiaTheme="majorEastAsia"/>
              </w:rPr>
              <w:t>Brecht forradalma.</w:t>
            </w:r>
            <w:r w:rsidRPr="007C77AA">
              <w:t xml:space="preserve"> In: Ungvári Tamás (szerk.): </w:t>
            </w:r>
            <w:r w:rsidRPr="007C77AA">
              <w:rPr>
                <w:rStyle w:val="Kiemels"/>
                <w:rFonts w:eastAsiaTheme="majorEastAsia"/>
              </w:rPr>
              <w:t>A dráma művészete ma</w:t>
            </w:r>
            <w:r w:rsidRPr="007C77AA">
              <w:t>. Gondolat, Budapest, 1974. 361–364.</w:t>
            </w:r>
          </w:p>
          <w:p w14:paraId="0135D117" w14:textId="77777777" w:rsidR="007C77AA" w:rsidRPr="007C77AA" w:rsidRDefault="007C77AA" w:rsidP="007C77AA">
            <w:pPr>
              <w:pStyle w:val="NormlWeb"/>
            </w:pPr>
            <w:r w:rsidRPr="007C77AA">
              <w:t xml:space="preserve">Barthes, Roland: </w:t>
            </w:r>
            <w:r w:rsidRPr="007C77AA">
              <w:rPr>
                <w:rStyle w:val="Kiemels2"/>
                <w:rFonts w:eastAsiaTheme="majorEastAsia"/>
              </w:rPr>
              <w:t>A Brecht-kritika feladatai.</w:t>
            </w:r>
            <w:r w:rsidRPr="007C77AA">
              <w:t xml:space="preserve"> In: Ungvári Tamás (szerk.): </w:t>
            </w:r>
            <w:r w:rsidRPr="007C77AA">
              <w:rPr>
                <w:rStyle w:val="Kiemels"/>
                <w:rFonts w:eastAsiaTheme="majorEastAsia"/>
              </w:rPr>
              <w:t>A dráma művészete ma</w:t>
            </w:r>
            <w:r w:rsidRPr="007C77AA">
              <w:t>. Gondolat, Budapest, 1974. 364–369.</w:t>
            </w:r>
          </w:p>
          <w:p w14:paraId="08A30E7D" w14:textId="77777777" w:rsidR="007C77AA" w:rsidRPr="007C77AA" w:rsidRDefault="007C77AA" w:rsidP="007C77AA">
            <w:pPr>
              <w:pStyle w:val="NormlWeb"/>
            </w:pPr>
            <w:r w:rsidRPr="007C77AA">
              <w:lastRenderedPageBreak/>
              <w:t xml:space="preserve">Barthes, Roland: </w:t>
            </w:r>
            <w:r w:rsidRPr="007C77AA">
              <w:rPr>
                <w:rStyle w:val="Kiemels2"/>
                <w:rFonts w:eastAsiaTheme="majorEastAsia"/>
              </w:rPr>
              <w:t>Kurázsi mama vaksága.</w:t>
            </w:r>
            <w:r w:rsidRPr="007C77AA">
              <w:t xml:space="preserve"> In: Ungvári Tamás (szerk.): </w:t>
            </w:r>
            <w:r w:rsidRPr="007C77AA">
              <w:rPr>
                <w:rStyle w:val="Kiemels"/>
                <w:rFonts w:eastAsiaTheme="majorEastAsia"/>
              </w:rPr>
              <w:t>A dráma művészete ma</w:t>
            </w:r>
            <w:r w:rsidRPr="007C77AA">
              <w:t>. Gondolat, Budapest, 1974. 369–373.</w:t>
            </w:r>
          </w:p>
          <w:p w14:paraId="726F8E8D" w14:textId="77777777" w:rsidR="007C77AA" w:rsidRPr="007C77AA" w:rsidRDefault="007C77AA" w:rsidP="007C77AA">
            <w:pPr>
              <w:pStyle w:val="NormlWeb"/>
            </w:pPr>
            <w:r w:rsidRPr="007C77AA">
              <w:t xml:space="preserve">Barthes, Roland: </w:t>
            </w:r>
            <w:r w:rsidRPr="007C77AA">
              <w:rPr>
                <w:rStyle w:val="Kiemels2"/>
                <w:rFonts w:eastAsiaTheme="majorEastAsia"/>
              </w:rPr>
              <w:t>A színház avantgárdja – de melyiké?</w:t>
            </w:r>
            <w:r w:rsidRPr="007C77AA">
              <w:t xml:space="preserve"> In: Ungvári Tamás (szerk.): </w:t>
            </w:r>
            <w:r w:rsidRPr="007C77AA">
              <w:rPr>
                <w:rStyle w:val="Kiemels"/>
                <w:rFonts w:eastAsiaTheme="majorEastAsia"/>
              </w:rPr>
              <w:t>A dráma művészete ma</w:t>
            </w:r>
            <w:r w:rsidRPr="007C77AA">
              <w:t>. Gondolat, Budapest, 1974. 373–378.</w:t>
            </w:r>
          </w:p>
          <w:p w14:paraId="3CBCA4F5" w14:textId="77777777" w:rsidR="007C77AA" w:rsidRPr="007C77AA" w:rsidRDefault="007C77AA" w:rsidP="007C77AA">
            <w:pPr>
              <w:pStyle w:val="NormlWeb"/>
            </w:pPr>
            <w:r w:rsidRPr="007C77AA">
              <w:t xml:space="preserve">Brecht, Bertolt: </w:t>
            </w:r>
            <w:r w:rsidRPr="007C77AA">
              <w:rPr>
                <w:rStyle w:val="Kiemels2"/>
                <w:rFonts w:eastAsiaTheme="majorEastAsia"/>
              </w:rPr>
              <w:t>A klasszikusok elidegenítő hatásáról.</w:t>
            </w:r>
            <w:r w:rsidRPr="007C77AA">
              <w:t xml:space="preserve"> In: Lengyel György (szerk.): </w:t>
            </w:r>
            <w:r w:rsidRPr="007C77AA">
              <w:rPr>
                <w:rStyle w:val="Kiemels"/>
                <w:rFonts w:eastAsiaTheme="majorEastAsia"/>
              </w:rPr>
              <w:t>A színház művészete ma</w:t>
            </w:r>
            <w:r w:rsidRPr="007C77AA">
              <w:t>. Gondolat, Budapest, 1970. 189–194.</w:t>
            </w:r>
          </w:p>
          <w:p w14:paraId="2C11121D" w14:textId="77777777" w:rsidR="007C77AA" w:rsidRPr="007C77AA" w:rsidRDefault="007C77AA" w:rsidP="007C77AA">
            <w:pPr>
              <w:pStyle w:val="NormlWeb"/>
            </w:pPr>
            <w:r w:rsidRPr="007C77AA">
              <w:t xml:space="preserve">Brecht, Bertolt: </w:t>
            </w:r>
            <w:r w:rsidRPr="007C77AA">
              <w:rPr>
                <w:rStyle w:val="Kiemels2"/>
                <w:rFonts w:eastAsiaTheme="majorEastAsia"/>
              </w:rPr>
              <w:t>Az elidegenítési effektus.</w:t>
            </w:r>
            <w:r w:rsidRPr="007C77AA">
              <w:t xml:space="preserve"> In: Lengyel György (szerk.): </w:t>
            </w:r>
            <w:r w:rsidRPr="007C77AA">
              <w:rPr>
                <w:rStyle w:val="Kiemels"/>
                <w:rFonts w:eastAsiaTheme="majorEastAsia"/>
              </w:rPr>
              <w:t>A színház művészete ma</w:t>
            </w:r>
            <w:r w:rsidRPr="007C77AA">
              <w:t>. Gondolat, Budapest, 1970. 154–164.</w:t>
            </w:r>
          </w:p>
          <w:p w14:paraId="25F0A479" w14:textId="77777777" w:rsidR="007C77AA" w:rsidRPr="007C77AA" w:rsidRDefault="007C77AA" w:rsidP="007C77AA">
            <w:pPr>
              <w:pStyle w:val="NormlWeb"/>
            </w:pPr>
            <w:r w:rsidRPr="007C77AA">
              <w:t xml:space="preserve">Brecht, Bertolt: </w:t>
            </w:r>
            <w:r w:rsidRPr="007C77AA">
              <w:rPr>
                <w:rStyle w:val="Kiemels2"/>
                <w:rFonts w:eastAsiaTheme="majorEastAsia"/>
              </w:rPr>
              <w:t>A nem-arisztotelészi dráma színpadépítkezése.</w:t>
            </w:r>
            <w:r w:rsidRPr="007C77AA">
              <w:t xml:space="preserve"> In: Jákfalvi Magdolna: </w:t>
            </w:r>
            <w:r w:rsidRPr="007C77AA">
              <w:rPr>
                <w:rStyle w:val="Kiemels"/>
                <w:rFonts w:eastAsiaTheme="majorEastAsia"/>
              </w:rPr>
              <w:t>Színházi antológia. XX. század</w:t>
            </w:r>
            <w:r w:rsidRPr="007C77AA">
              <w:t>. Balassi Kiadó, Budapest, 2000. 136–140.</w:t>
            </w:r>
          </w:p>
          <w:p w14:paraId="1BE289CE" w14:textId="77777777" w:rsidR="007C77AA" w:rsidRPr="007C77AA" w:rsidRDefault="007C77AA" w:rsidP="007C77AA">
            <w:pPr>
              <w:pStyle w:val="NormlWeb"/>
            </w:pPr>
            <w:r w:rsidRPr="007C77AA">
              <w:t xml:space="preserve">Brook, Peter: </w:t>
            </w:r>
            <w:r w:rsidRPr="007C77AA">
              <w:rPr>
                <w:rStyle w:val="Kiemels"/>
                <w:rFonts w:eastAsiaTheme="majorEastAsia"/>
              </w:rPr>
              <w:t>Az üres tér</w:t>
            </w:r>
            <w:r w:rsidRPr="007C77AA">
              <w:t>. Európa Könyvkiadó, Budapest, 1999.</w:t>
            </w:r>
          </w:p>
          <w:p w14:paraId="5CCD6120" w14:textId="77777777" w:rsidR="007C77AA" w:rsidRPr="007C77AA" w:rsidRDefault="007C77AA" w:rsidP="007C77AA">
            <w:pPr>
              <w:pStyle w:val="NormlWeb"/>
            </w:pPr>
            <w:r w:rsidRPr="007C77AA">
              <w:t xml:space="preserve">Duró Győző – Nánay István (szerk.): </w:t>
            </w:r>
            <w:r w:rsidRPr="007C77AA">
              <w:rPr>
                <w:rStyle w:val="Kiemels"/>
                <w:rFonts w:eastAsiaTheme="majorEastAsia"/>
              </w:rPr>
              <w:t>Dramaturgiai olvasókönyv</w:t>
            </w:r>
            <w:r w:rsidRPr="007C77AA">
              <w:t>. Marczibányi Téri Művelődési Központ, Budapest, 1993.</w:t>
            </w:r>
          </w:p>
          <w:p w14:paraId="4E13F8CB" w14:textId="77777777" w:rsidR="007C77AA" w:rsidRPr="007C77AA" w:rsidRDefault="007C77AA" w:rsidP="007C77AA">
            <w:pPr>
              <w:pStyle w:val="NormlWeb"/>
            </w:pPr>
            <w:r w:rsidRPr="007C77AA">
              <w:t xml:space="preserve">Jákfalvi Magdolna: </w:t>
            </w:r>
            <w:r w:rsidRPr="007C77AA">
              <w:rPr>
                <w:rStyle w:val="Kiemels"/>
                <w:rFonts w:eastAsiaTheme="majorEastAsia"/>
              </w:rPr>
              <w:t>Színházi antológia. XX. század</w:t>
            </w:r>
            <w:r w:rsidRPr="007C77AA">
              <w:t>. Balassi Kiadó, Budapest, 2000.</w:t>
            </w:r>
          </w:p>
          <w:p w14:paraId="6F3C5A5C" w14:textId="77777777" w:rsidR="007C77AA" w:rsidRPr="007C77AA" w:rsidRDefault="007C77AA" w:rsidP="007C77AA">
            <w:pPr>
              <w:pStyle w:val="NormlWeb"/>
            </w:pPr>
            <w:r w:rsidRPr="007C77AA">
              <w:t xml:space="preserve">Kiss Gabriella: </w:t>
            </w:r>
            <w:r w:rsidRPr="007C77AA">
              <w:rPr>
                <w:rStyle w:val="Kiemels"/>
                <w:rFonts w:eastAsiaTheme="majorEastAsia"/>
              </w:rPr>
              <w:t>Bevezetés a színházi előadások világába</w:t>
            </w:r>
            <w:r w:rsidRPr="007C77AA">
              <w:t>. Korona Kiadó, Budapest, 1999.</w:t>
            </w:r>
          </w:p>
          <w:p w14:paraId="79637AB9" w14:textId="77777777" w:rsidR="007C77AA" w:rsidRPr="007C77AA" w:rsidRDefault="007C77AA" w:rsidP="007C77AA">
            <w:pPr>
              <w:pStyle w:val="NormlWeb"/>
            </w:pPr>
            <w:r w:rsidRPr="007C77AA">
              <w:t xml:space="preserve">Lessing, Gotthold Ephraim: </w:t>
            </w:r>
            <w:r w:rsidRPr="007C77AA">
              <w:rPr>
                <w:rStyle w:val="Kiemels"/>
                <w:rFonts w:eastAsiaTheme="majorEastAsia"/>
              </w:rPr>
              <w:t>Válogatott esztétikai írásai</w:t>
            </w:r>
            <w:r w:rsidRPr="007C77AA">
              <w:t>. Gondolat Kiadó, Budapest, 1982.</w:t>
            </w:r>
          </w:p>
          <w:p w14:paraId="7867FC6C" w14:textId="77777777" w:rsidR="007C77AA" w:rsidRPr="007C77AA" w:rsidRDefault="007C77AA" w:rsidP="007C77AA">
            <w:pPr>
              <w:pStyle w:val="NormlWeb"/>
            </w:pPr>
            <w:r w:rsidRPr="007C77AA">
              <w:t xml:space="preserve">Romanska, Magda: </w:t>
            </w:r>
            <w:r w:rsidRPr="007C77AA">
              <w:rPr>
                <w:rStyle w:val="Kiemels"/>
                <w:rFonts w:eastAsiaTheme="majorEastAsia"/>
              </w:rPr>
              <w:t>Routledge Companion to Dramaturgy</w:t>
            </w:r>
            <w:r w:rsidRPr="007C77AA">
              <w:t>. Routledge, London–New York, 2015.</w:t>
            </w:r>
          </w:p>
          <w:p w14:paraId="484BA6C2" w14:textId="77777777" w:rsidR="007C77AA" w:rsidRPr="007C77AA" w:rsidRDefault="007C77AA" w:rsidP="007C77AA">
            <w:pPr>
              <w:pStyle w:val="NormlWeb"/>
            </w:pPr>
            <w:r w:rsidRPr="007C77AA">
              <w:t xml:space="preserve">Visky András: </w:t>
            </w:r>
            <w:r w:rsidRPr="007C77AA">
              <w:rPr>
                <w:rStyle w:val="Kiemels"/>
                <w:rFonts w:eastAsiaTheme="majorEastAsia"/>
              </w:rPr>
              <w:t>Hamlet elindul</w:t>
            </w:r>
            <w:r w:rsidRPr="007C77AA">
              <w:t>. Szivárvány, Chicago – Mentor, Marosvásárhely, 1995.</w:t>
            </w:r>
          </w:p>
          <w:p w14:paraId="19492D22" w14:textId="77777777" w:rsidR="007C77AA" w:rsidRPr="007C77AA" w:rsidRDefault="007C77AA" w:rsidP="007C77AA">
            <w:pPr>
              <w:pStyle w:val="NormlWeb"/>
            </w:pPr>
            <w:r w:rsidRPr="007C77AA">
              <w:t xml:space="preserve">Visky András: </w:t>
            </w:r>
            <w:r w:rsidRPr="007C77AA">
              <w:rPr>
                <w:rStyle w:val="Kiemels"/>
                <w:rFonts w:eastAsiaTheme="majorEastAsia"/>
              </w:rPr>
              <w:t>Írni és (nem) rendezni</w:t>
            </w:r>
            <w:r w:rsidRPr="007C77AA">
              <w:t>. Koinónia, Kolozsvár, 2002.</w:t>
            </w:r>
          </w:p>
          <w:p w14:paraId="28D0D0F1" w14:textId="1A085261" w:rsidR="007C77AA" w:rsidRPr="007C77AA" w:rsidRDefault="007C77AA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3F659E" w:rsidRPr="007C77AA" w14:paraId="724C172F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7C77AA" w:rsidRDefault="003F659E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lastRenderedPageBreak/>
              <w:t xml:space="preserve">8.2 </w:t>
            </w:r>
            <w:r w:rsidR="004D3AF6" w:rsidRPr="007C77AA">
              <w:rPr>
                <w:rFonts w:ascii="Times New Roman" w:hAnsi="Times New Roman" w:cs="Times New Roman"/>
                <w:lang w:val="hu-HU"/>
              </w:rPr>
              <w:t>Szeminárium / Labor</w:t>
            </w:r>
          </w:p>
        </w:tc>
        <w:tc>
          <w:tcPr>
            <w:tcW w:w="4246" w:type="dxa"/>
            <w:vAlign w:val="center"/>
          </w:tcPr>
          <w:p w14:paraId="77799169" w14:textId="522A20FD" w:rsidR="003F659E" w:rsidRPr="007C77AA" w:rsidRDefault="004D3AF6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Didaktikai módszerek</w:t>
            </w:r>
          </w:p>
        </w:tc>
        <w:tc>
          <w:tcPr>
            <w:tcW w:w="2558" w:type="dxa"/>
            <w:vAlign w:val="center"/>
          </w:tcPr>
          <w:p w14:paraId="0DCC5100" w14:textId="3D08C0AE" w:rsidR="003F659E" w:rsidRPr="007C77AA" w:rsidRDefault="004D3AF6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eastAsia="Calibri" w:hAnsi="Times New Roman" w:cs="Times New Roman"/>
                <w:kern w:val="0"/>
                <w:lang w:val="hu-HU"/>
                <w14:ligatures w14:val="none"/>
              </w:rPr>
              <w:t>Megjegyzések</w:t>
            </w:r>
          </w:p>
        </w:tc>
      </w:tr>
      <w:tr w:rsidR="003F659E" w:rsidRPr="007C77AA" w14:paraId="74734A45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27FFA156" w:rsidR="003F659E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Bevezetés a félév tematikájába. Az első félév alapfogalmainak áttekintése.</w:t>
            </w:r>
          </w:p>
        </w:tc>
        <w:tc>
          <w:tcPr>
            <w:tcW w:w="4246" w:type="dxa"/>
            <w:vAlign w:val="center"/>
          </w:tcPr>
          <w:p w14:paraId="7A7ED45E" w14:textId="0791E992" w:rsidR="003F659E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Interaktív szeminárium, vita, közös elemzés</w:t>
            </w:r>
          </w:p>
        </w:tc>
        <w:tc>
          <w:tcPr>
            <w:tcW w:w="2558" w:type="dxa"/>
            <w:vAlign w:val="center"/>
          </w:tcPr>
          <w:p w14:paraId="6EA614A7" w14:textId="77777777" w:rsidR="003F659E" w:rsidRPr="007C77AA" w:rsidRDefault="003F659E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5FB4FEDE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13715754" w14:textId="720DCA52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Egy realista jelenet dramaturgiai elemzése. Konfliktus- és szereplőelemzés.</w:t>
            </w:r>
          </w:p>
        </w:tc>
        <w:tc>
          <w:tcPr>
            <w:tcW w:w="4246" w:type="dxa"/>
            <w:vAlign w:val="center"/>
          </w:tcPr>
          <w:p w14:paraId="7E2FEA15" w14:textId="69D3AE6B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Szövegelemzés, egyéni munka</w:t>
            </w:r>
          </w:p>
        </w:tc>
        <w:tc>
          <w:tcPr>
            <w:tcW w:w="2558" w:type="dxa"/>
            <w:vAlign w:val="center"/>
          </w:tcPr>
          <w:p w14:paraId="0F342D28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65444506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7A07CF8D" w14:textId="7F592F71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A pszichológiai realizmus dramaturgiai sajátosságai modern drámai szövegekben.</w:t>
            </w:r>
          </w:p>
        </w:tc>
        <w:tc>
          <w:tcPr>
            <w:tcW w:w="4246" w:type="dxa"/>
            <w:vAlign w:val="center"/>
          </w:tcPr>
          <w:p w14:paraId="18B24704" w14:textId="30725136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Kritikai olvasás, csoportos megbeszélés</w:t>
            </w:r>
          </w:p>
        </w:tc>
        <w:tc>
          <w:tcPr>
            <w:tcW w:w="2558" w:type="dxa"/>
            <w:vAlign w:val="center"/>
          </w:tcPr>
          <w:p w14:paraId="0A5B226C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44114CCD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22F47B3F" w14:textId="7ACE07BD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A szubtextus fogalma és dramaturgiai funkciói.</w:t>
            </w:r>
          </w:p>
        </w:tc>
        <w:tc>
          <w:tcPr>
            <w:tcW w:w="4246" w:type="dxa"/>
            <w:vAlign w:val="center"/>
          </w:tcPr>
          <w:p w14:paraId="1828D41D" w14:textId="22F68046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Elemző gyakorlatok, irányított értelmezés</w:t>
            </w:r>
          </w:p>
        </w:tc>
        <w:tc>
          <w:tcPr>
            <w:tcW w:w="2558" w:type="dxa"/>
            <w:vAlign w:val="center"/>
          </w:tcPr>
          <w:p w14:paraId="715E2729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68F95DF0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70F80E13" w14:textId="6E47E851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Bevezetés a brechti dramaturgiába. Az elidegenítés dramaturgiai eszközei.</w:t>
            </w:r>
          </w:p>
        </w:tc>
        <w:tc>
          <w:tcPr>
            <w:tcW w:w="4246" w:type="dxa"/>
            <w:vAlign w:val="center"/>
          </w:tcPr>
          <w:p w14:paraId="7740CFA2" w14:textId="03E12991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Műhelymunka, csoportmunka</w:t>
            </w:r>
          </w:p>
        </w:tc>
        <w:tc>
          <w:tcPr>
            <w:tcW w:w="2558" w:type="dxa"/>
            <w:vAlign w:val="center"/>
          </w:tcPr>
          <w:p w14:paraId="0C6A66E0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230537E9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31732B49" w14:textId="1ECEF966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Az arisztotelészi és a brechti dramaturgia összehasonlítása.</w:t>
            </w:r>
          </w:p>
        </w:tc>
        <w:tc>
          <w:tcPr>
            <w:tcW w:w="4246" w:type="dxa"/>
            <w:vAlign w:val="center"/>
          </w:tcPr>
          <w:p w14:paraId="2A506EFB" w14:textId="0612D92B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Összehasonlító elemzés, vita</w:t>
            </w:r>
          </w:p>
        </w:tc>
        <w:tc>
          <w:tcPr>
            <w:tcW w:w="2558" w:type="dxa"/>
            <w:vAlign w:val="center"/>
          </w:tcPr>
          <w:p w14:paraId="6ABE5664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22959E75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3F285DE4" w14:textId="351DA6EE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Egy brechti jelenet dramaturgiai elemzése.</w:t>
            </w:r>
          </w:p>
        </w:tc>
        <w:tc>
          <w:tcPr>
            <w:tcW w:w="4246" w:type="dxa"/>
            <w:vAlign w:val="center"/>
          </w:tcPr>
          <w:p w14:paraId="0AA6BF0F" w14:textId="37F5777B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Csoportmunka, prezentációk</w:t>
            </w:r>
          </w:p>
        </w:tc>
        <w:tc>
          <w:tcPr>
            <w:tcW w:w="2558" w:type="dxa"/>
            <w:vAlign w:val="center"/>
          </w:tcPr>
          <w:p w14:paraId="39FC6403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4826D8AB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1A40AFE7" w14:textId="1BCF017B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lastRenderedPageBreak/>
              <w:t>A posztdramatikus színház és a dramaturg szerepének átalakulása.</w:t>
            </w:r>
          </w:p>
        </w:tc>
        <w:tc>
          <w:tcPr>
            <w:tcW w:w="4246" w:type="dxa"/>
            <w:vAlign w:val="center"/>
          </w:tcPr>
          <w:p w14:paraId="3EA8F94D" w14:textId="21937B08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Olvasószeminárium, tudományos vita</w:t>
            </w:r>
          </w:p>
        </w:tc>
        <w:tc>
          <w:tcPr>
            <w:tcW w:w="2558" w:type="dxa"/>
            <w:vAlign w:val="center"/>
          </w:tcPr>
          <w:p w14:paraId="7370C447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3BD4AAA2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4BF9D134" w14:textId="2905178A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Szöveg, kép, test és performativitás a posztdramatikus színházban.</w:t>
            </w:r>
          </w:p>
        </w:tc>
        <w:tc>
          <w:tcPr>
            <w:tcW w:w="4246" w:type="dxa"/>
            <w:vAlign w:val="center"/>
          </w:tcPr>
          <w:p w14:paraId="49DB8A3D" w14:textId="3867A86F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Előadáselemzés, csoportmunka</w:t>
            </w:r>
          </w:p>
        </w:tc>
        <w:tc>
          <w:tcPr>
            <w:tcW w:w="2558" w:type="dxa"/>
            <w:vAlign w:val="center"/>
          </w:tcPr>
          <w:p w14:paraId="0653118B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3F659E" w:rsidRPr="007C77AA" w14:paraId="058026E7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7F1A52DB" w:rsidR="003F659E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A pszichológiai realista és a posztdramatikus előadásmodell összehasonlító vizsgálata.</w:t>
            </w:r>
          </w:p>
        </w:tc>
        <w:tc>
          <w:tcPr>
            <w:tcW w:w="4246" w:type="dxa"/>
            <w:vAlign w:val="center"/>
          </w:tcPr>
          <w:p w14:paraId="27D189C9" w14:textId="6584B97F" w:rsidR="003F659E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Esettanulmány, összehasonlító elemzés</w:t>
            </w:r>
          </w:p>
        </w:tc>
        <w:tc>
          <w:tcPr>
            <w:tcW w:w="2558" w:type="dxa"/>
            <w:vAlign w:val="center"/>
          </w:tcPr>
          <w:p w14:paraId="2C9FB219" w14:textId="77777777" w:rsidR="003F659E" w:rsidRPr="007C77AA" w:rsidRDefault="003F659E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3F659E" w:rsidRPr="007C77AA" w14:paraId="7D7D415D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370BC421" w:rsidR="003F659E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 xml:space="preserve">Peter Stein </w:t>
            </w:r>
            <w:r w:rsidRPr="007C77AA">
              <w:rPr>
                <w:rStyle w:val="Kiemels"/>
                <w:rFonts w:ascii="Times New Roman" w:hAnsi="Times New Roman" w:cs="Times New Roman"/>
              </w:rPr>
              <w:t>Három nővér</w:t>
            </w:r>
            <w:r w:rsidRPr="007C77AA">
              <w:rPr>
                <w:rFonts w:ascii="Times New Roman" w:hAnsi="Times New Roman" w:cs="Times New Roman"/>
              </w:rPr>
              <w:t xml:space="preserve"> című előadásának dramaturgiai elemzése.</w:t>
            </w:r>
          </w:p>
        </w:tc>
        <w:tc>
          <w:tcPr>
            <w:tcW w:w="4246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3"/>
            </w:tblGrid>
            <w:tr w:rsidR="004504A2" w:rsidRPr="007C77AA" w14:paraId="3CDD7983" w14:textId="77777777">
              <w:trPr>
                <w:tblCellSpacing w:w="15" w:type="dxa"/>
              </w:trPr>
              <w:tc>
                <w:tcPr>
                  <w:tcW w:w="3043" w:type="dxa"/>
                  <w:vAlign w:val="center"/>
                  <w:hideMark/>
                </w:tcPr>
                <w:p w14:paraId="285AC252" w14:textId="77777777" w:rsidR="004504A2" w:rsidRPr="007C77AA" w:rsidRDefault="004504A2" w:rsidP="004504A2">
                  <w:pPr>
                    <w:rPr>
                      <w:rFonts w:ascii="Times New Roman" w:hAnsi="Times New Roman" w:cs="Times New Roman"/>
                      <w:lang/>
                    </w:rPr>
                  </w:pPr>
                  <w:r w:rsidRPr="007C77AA">
                    <w:rPr>
                      <w:rFonts w:ascii="Times New Roman" w:hAnsi="Times New Roman" w:cs="Times New Roman"/>
                    </w:rPr>
                    <w:t>Előadásmegtekintés és elemzés</w:t>
                  </w:r>
                </w:p>
              </w:tc>
            </w:tr>
          </w:tbl>
          <w:p w14:paraId="178B797F" w14:textId="77777777" w:rsidR="004504A2" w:rsidRPr="007C77AA" w:rsidRDefault="004504A2" w:rsidP="004504A2">
            <w:pPr>
              <w:rPr>
                <w:rFonts w:ascii="Times New Roman" w:hAnsi="Times New Roman" w:cs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4504A2" w:rsidRPr="007C77AA" w14:paraId="6BAB1602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CC0CDFC" w14:textId="77777777" w:rsidR="004504A2" w:rsidRPr="007C77AA" w:rsidRDefault="004504A2" w:rsidP="004504A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826A110" w14:textId="77777777" w:rsidR="003F659E" w:rsidRPr="007C77AA" w:rsidRDefault="003F659E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558" w:type="dxa"/>
            <w:vAlign w:val="center"/>
          </w:tcPr>
          <w:p w14:paraId="0CFDBE61" w14:textId="77777777" w:rsidR="003F659E" w:rsidRPr="007C77AA" w:rsidRDefault="003F659E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3F659E" w:rsidRPr="007C77AA" w14:paraId="5C80429B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7271BD86" w:rsidR="003F659E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 xml:space="preserve">Christoph Marthaler </w:t>
            </w:r>
            <w:r w:rsidRPr="007C77AA">
              <w:rPr>
                <w:rStyle w:val="Kiemels"/>
                <w:rFonts w:ascii="Times New Roman" w:hAnsi="Times New Roman" w:cs="Times New Roman"/>
              </w:rPr>
              <w:t>Három nővér</w:t>
            </w:r>
            <w:r w:rsidRPr="007C77AA">
              <w:rPr>
                <w:rFonts w:ascii="Times New Roman" w:hAnsi="Times New Roman" w:cs="Times New Roman"/>
              </w:rPr>
              <w:t xml:space="preserve"> című előadásának dramaturgiai elemzése.</w:t>
            </w:r>
          </w:p>
        </w:tc>
        <w:tc>
          <w:tcPr>
            <w:tcW w:w="4246" w:type="dxa"/>
            <w:vAlign w:val="center"/>
          </w:tcPr>
          <w:p w14:paraId="70049786" w14:textId="242487BF" w:rsidR="003F659E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Előadásmegtekintés és összehasonlító elemzés</w:t>
            </w:r>
          </w:p>
        </w:tc>
        <w:tc>
          <w:tcPr>
            <w:tcW w:w="2558" w:type="dxa"/>
            <w:vAlign w:val="center"/>
          </w:tcPr>
          <w:p w14:paraId="7B35DD85" w14:textId="77777777" w:rsidR="003F659E" w:rsidRPr="007C77AA" w:rsidRDefault="003F659E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35A51147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223580FD" w14:textId="1F7FADD3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Egyéni dramaturgiai elemzési projekt bemutatása és szakmai megvitatása.</w:t>
            </w:r>
          </w:p>
        </w:tc>
        <w:tc>
          <w:tcPr>
            <w:tcW w:w="4246" w:type="dxa"/>
            <w:vAlign w:val="center"/>
          </w:tcPr>
          <w:p w14:paraId="79A239B5" w14:textId="43493E6D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Hallgatói prezentációk, visszajelzés</w:t>
            </w:r>
          </w:p>
        </w:tc>
        <w:tc>
          <w:tcPr>
            <w:tcW w:w="2558" w:type="dxa"/>
            <w:vAlign w:val="center"/>
          </w:tcPr>
          <w:p w14:paraId="5F8CBFC0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4504A2" w:rsidRPr="007C77AA" w14:paraId="1EC661B9" w14:textId="77777777" w:rsidTr="007C77AA">
        <w:trPr>
          <w:trHeight w:val="284"/>
          <w:jc w:val="center"/>
        </w:trPr>
        <w:tc>
          <w:tcPr>
            <w:tcW w:w="3687" w:type="dxa"/>
            <w:vAlign w:val="center"/>
          </w:tcPr>
          <w:p w14:paraId="299B114D" w14:textId="55949C2C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Összegzés. A dramaturg szerepének fejlődése a német színházi hagyományban. Záró értékelés.</w:t>
            </w:r>
          </w:p>
        </w:tc>
        <w:tc>
          <w:tcPr>
            <w:tcW w:w="4246" w:type="dxa"/>
            <w:vAlign w:val="center"/>
          </w:tcPr>
          <w:p w14:paraId="3CF37876" w14:textId="285166AA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>Összegző vita, értékelés</w:t>
            </w:r>
          </w:p>
        </w:tc>
        <w:tc>
          <w:tcPr>
            <w:tcW w:w="2558" w:type="dxa"/>
            <w:vAlign w:val="center"/>
          </w:tcPr>
          <w:p w14:paraId="63611743" w14:textId="77777777" w:rsidR="004504A2" w:rsidRPr="007C77AA" w:rsidRDefault="004504A2" w:rsidP="000277E2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  <w:tr w:rsidR="003F659E" w:rsidRPr="007C77AA" w14:paraId="2512011A" w14:textId="77777777" w:rsidTr="004504A2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1778C94" w14:textId="77777777" w:rsidR="003F659E" w:rsidRPr="007C77AA" w:rsidRDefault="004D3AF6" w:rsidP="000277E2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>Könyvészet</w:t>
            </w:r>
            <w:r w:rsidR="007C77AA" w:rsidRPr="007C77AA">
              <w:rPr>
                <w:rFonts w:ascii="Times New Roman" w:hAnsi="Times New Roman" w:cs="Times New Roman"/>
                <w:lang w:val="hu-HU"/>
              </w:rPr>
              <w:t>:</w:t>
            </w:r>
          </w:p>
          <w:p w14:paraId="316EBE27" w14:textId="77777777" w:rsidR="007C77AA" w:rsidRPr="007C77AA" w:rsidRDefault="007C77AA" w:rsidP="007C77AA">
            <w:pPr>
              <w:pStyle w:val="NormlWeb"/>
            </w:pPr>
            <w:r w:rsidRPr="007C77AA">
              <w:t xml:space="preserve">Barthes, Roland: </w:t>
            </w:r>
            <w:r w:rsidRPr="007C77AA">
              <w:rPr>
                <w:rStyle w:val="Kiemels2"/>
                <w:rFonts w:eastAsiaTheme="majorEastAsia"/>
              </w:rPr>
              <w:t>Brecht forradalma</w:t>
            </w:r>
            <w:r w:rsidRPr="007C77AA">
              <w:t xml:space="preserve">; </w:t>
            </w:r>
            <w:r w:rsidRPr="007C77AA">
              <w:rPr>
                <w:rStyle w:val="Kiemels2"/>
                <w:rFonts w:eastAsiaTheme="majorEastAsia"/>
              </w:rPr>
              <w:t>A Brecht-kritika feladatai</w:t>
            </w:r>
            <w:r w:rsidRPr="007C77AA">
              <w:t xml:space="preserve">; </w:t>
            </w:r>
            <w:r w:rsidRPr="007C77AA">
              <w:rPr>
                <w:rStyle w:val="Kiemels2"/>
                <w:rFonts w:eastAsiaTheme="majorEastAsia"/>
              </w:rPr>
              <w:t>Kurázsi mama vaksága</w:t>
            </w:r>
            <w:r w:rsidRPr="007C77AA">
              <w:t xml:space="preserve">; </w:t>
            </w:r>
            <w:r w:rsidRPr="007C77AA">
              <w:rPr>
                <w:rStyle w:val="Kiemels2"/>
                <w:rFonts w:eastAsiaTheme="majorEastAsia"/>
              </w:rPr>
              <w:t>A színház avantgárdja – de melyiké?</w:t>
            </w:r>
            <w:r w:rsidRPr="007C77AA">
              <w:t xml:space="preserve"> In: Ungvári Tamás (szerk.): </w:t>
            </w:r>
            <w:r w:rsidRPr="007C77AA">
              <w:rPr>
                <w:rStyle w:val="Kiemels"/>
                <w:rFonts w:eastAsiaTheme="majorEastAsia"/>
              </w:rPr>
              <w:t>A dráma művészete ma</w:t>
            </w:r>
            <w:r w:rsidRPr="007C77AA">
              <w:t>. Gondolat, Budapest, 1974.</w:t>
            </w:r>
          </w:p>
          <w:p w14:paraId="0081AA39" w14:textId="77777777" w:rsidR="007C77AA" w:rsidRPr="007C77AA" w:rsidRDefault="007C77AA" w:rsidP="007C77AA">
            <w:pPr>
              <w:pStyle w:val="NormlWeb"/>
            </w:pPr>
            <w:r w:rsidRPr="007C77AA">
              <w:t xml:space="preserve">Brook, Peter: </w:t>
            </w:r>
            <w:r w:rsidRPr="007C77AA">
              <w:rPr>
                <w:rStyle w:val="Kiemels"/>
                <w:rFonts w:eastAsiaTheme="majorEastAsia"/>
              </w:rPr>
              <w:t>Az üres tér</w:t>
            </w:r>
            <w:r w:rsidRPr="007C77AA">
              <w:t>. Európa Könyvkiadó, Budapest, 1999.</w:t>
            </w:r>
          </w:p>
          <w:p w14:paraId="096C0E33" w14:textId="77777777" w:rsidR="007C77AA" w:rsidRPr="007C77AA" w:rsidRDefault="007C77AA" w:rsidP="007C77AA">
            <w:pPr>
              <w:pStyle w:val="NormlWeb"/>
            </w:pPr>
            <w:r w:rsidRPr="007C77AA">
              <w:t xml:space="preserve">Jákfalvi Magdolna: </w:t>
            </w:r>
            <w:r w:rsidRPr="007C77AA">
              <w:rPr>
                <w:rStyle w:val="Kiemels"/>
                <w:rFonts w:eastAsiaTheme="majorEastAsia"/>
              </w:rPr>
              <w:t>Színházi antológia. XX. század</w:t>
            </w:r>
            <w:r w:rsidRPr="007C77AA">
              <w:t>. Balassi Kiadó, Budapest, 2000.</w:t>
            </w:r>
          </w:p>
          <w:p w14:paraId="65706CFD" w14:textId="7AE32D42" w:rsidR="007C77AA" w:rsidRPr="007C77AA" w:rsidRDefault="007C77AA" w:rsidP="000277E2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65CC45BE" w14:textId="77777777" w:rsidR="0084063D" w:rsidRPr="007C77AA" w:rsidRDefault="0084063D" w:rsidP="00CD486E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4A5A0AA0" w14:textId="570614E2" w:rsidR="00036059" w:rsidRPr="007C77AA" w:rsidRDefault="00036059" w:rsidP="005E798F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lang w:val="hu-HU"/>
        </w:rPr>
      </w:pPr>
      <w:r w:rsidRPr="007C77AA">
        <w:rPr>
          <w:rFonts w:ascii="Times New Roman" w:hAnsi="Times New Roman" w:cs="Times New Roman"/>
          <w:b/>
          <w:lang w:val="hu-HU"/>
        </w:rPr>
        <w:t xml:space="preserve">9. </w:t>
      </w:r>
      <w:r w:rsidR="003A5763" w:rsidRPr="007C77AA">
        <w:rPr>
          <w:rFonts w:ascii="Times New Roman" w:hAnsi="Times New Roman" w:cs="Times New Roman"/>
          <w:b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7C77AA" w14:paraId="697653B0" w14:textId="77777777" w:rsidTr="007E4CB3">
        <w:trPr>
          <w:trHeight w:val="4011"/>
        </w:trPr>
        <w:tc>
          <w:tcPr>
            <w:tcW w:w="10491" w:type="dxa"/>
          </w:tcPr>
          <w:p w14:paraId="6D607485" w14:textId="77777777" w:rsidR="007C77AA" w:rsidRPr="007C77AA" w:rsidRDefault="007C77AA" w:rsidP="007C77AA">
            <w:pPr>
              <w:pStyle w:val="NormlWeb"/>
            </w:pPr>
            <w:r w:rsidRPr="007C77AA">
              <w:t>Az oktatási módszerek a nemzetközi és magyar színháztörténeti, illetve színháztudományi kutatások legújabb eredményeire épülnek.</w:t>
            </w:r>
          </w:p>
          <w:p w14:paraId="2863003D" w14:textId="77777777" w:rsidR="007C77AA" w:rsidRPr="007C77AA" w:rsidRDefault="007C77AA" w:rsidP="007C77AA">
            <w:pPr>
              <w:pStyle w:val="NormlWeb"/>
            </w:pPr>
            <w:r w:rsidRPr="007C77AA">
              <w:t>A tantárgy tartalma megfelel a romániai munkaerőpiac elvárásainak és a teatrológiai képzés szakmai követelményeinek.</w:t>
            </w:r>
          </w:p>
          <w:p w14:paraId="2B940AFD" w14:textId="5408C967" w:rsidR="0084568F" w:rsidRPr="007C77AA" w:rsidRDefault="0084568F" w:rsidP="007C77AA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7B13E652" w14:textId="77777777" w:rsidR="000B6EB1" w:rsidRDefault="000B6EB1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15930283" w14:textId="77777777" w:rsidR="007C77AA" w:rsidRDefault="007C77AA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3C0791AE" w14:textId="77777777" w:rsidR="007C77AA" w:rsidRDefault="007C77AA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26F14FCD" w14:textId="77777777" w:rsidR="007C77AA" w:rsidRDefault="007C77AA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1A916033" w14:textId="77777777" w:rsidR="007C77AA" w:rsidRPr="007C77AA" w:rsidRDefault="007C77AA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20194EDF" w14:textId="143D010A" w:rsidR="000B6EB1" w:rsidRPr="007C77AA" w:rsidRDefault="0084568F" w:rsidP="00E703A6">
      <w:pPr>
        <w:spacing w:after="0" w:line="240" w:lineRule="auto"/>
        <w:ind w:hanging="425"/>
        <w:rPr>
          <w:rFonts w:ascii="Times New Roman" w:hAnsi="Times New Roman" w:cs="Times New Roman"/>
          <w:lang w:val="hu-HU"/>
        </w:rPr>
      </w:pPr>
      <w:r w:rsidRPr="007C77AA">
        <w:rPr>
          <w:rFonts w:ascii="Times New Roman" w:hAnsi="Times New Roman" w:cs="Times New Roman"/>
          <w:b/>
          <w:lang w:val="hu-HU"/>
        </w:rPr>
        <w:lastRenderedPageBreak/>
        <w:t xml:space="preserve">10. </w:t>
      </w:r>
      <w:r w:rsidR="00116EEC" w:rsidRPr="007C77AA">
        <w:rPr>
          <w:rFonts w:ascii="Times New Roman" w:hAnsi="Times New Roman" w:cs="Times New Roman"/>
          <w:b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7C77AA" w14:paraId="06629255" w14:textId="77777777" w:rsidTr="007C77AA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7C77AA" w:rsidRDefault="001F70FF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7C77AA" w:rsidRDefault="00357598" w:rsidP="00E703A6">
            <w:pPr>
              <w:spacing w:after="0" w:line="240" w:lineRule="auto"/>
              <w:ind w:left="46" w:right="-154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 xml:space="preserve">10.1 </w:t>
            </w:r>
            <w:r w:rsidR="0014386F" w:rsidRPr="007C77AA">
              <w:rPr>
                <w:rFonts w:ascii="Times New Roman" w:hAnsi="Times New Roman" w:cs="Times New Roman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7C77AA" w:rsidRDefault="00357598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 xml:space="preserve">10.2 </w:t>
            </w:r>
            <w:r w:rsidR="001343E9" w:rsidRPr="007C77AA">
              <w:rPr>
                <w:rFonts w:ascii="Times New Roman" w:hAnsi="Times New Roman" w:cs="Times New Roman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7C77AA" w:rsidRDefault="00357598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 xml:space="preserve">10.3 </w:t>
            </w:r>
            <w:r w:rsidR="008C472C" w:rsidRPr="007C77AA">
              <w:rPr>
                <w:rFonts w:ascii="Times New Roman" w:hAnsi="Times New Roman" w:cs="Times New Roman"/>
                <w:lang w:val="hu-HU"/>
              </w:rPr>
              <w:t>Aránya a végső jegyben</w:t>
            </w:r>
          </w:p>
        </w:tc>
      </w:tr>
      <w:tr w:rsidR="00357598" w:rsidRPr="007C77AA" w14:paraId="3DDA6B4F" w14:textId="77777777" w:rsidTr="007C77AA">
        <w:trPr>
          <w:trHeight w:val="284"/>
        </w:trPr>
        <w:tc>
          <w:tcPr>
            <w:tcW w:w="1985" w:type="dxa"/>
            <w:vAlign w:val="center"/>
          </w:tcPr>
          <w:p w14:paraId="0E948466" w14:textId="03C81ED7" w:rsidR="00357598" w:rsidRPr="007C77AA" w:rsidRDefault="00357598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 xml:space="preserve">10.4 </w:t>
            </w:r>
            <w:r w:rsidR="007D301E" w:rsidRPr="007C77AA">
              <w:rPr>
                <w:rFonts w:ascii="Times New Roman" w:hAnsi="Times New Roman" w:cs="Times New Roman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5BC3FE11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Az előadás anyagának és a kapcsolódó szakirodalomnak az ismerete</w:t>
            </w:r>
          </w:p>
        </w:tc>
        <w:tc>
          <w:tcPr>
            <w:tcW w:w="2692" w:type="dxa"/>
            <w:vAlign w:val="center"/>
          </w:tcPr>
          <w:p w14:paraId="307E3AAC" w14:textId="4C05AE1D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Írásbeli vizsga</w:t>
            </w:r>
          </w:p>
        </w:tc>
        <w:tc>
          <w:tcPr>
            <w:tcW w:w="2978" w:type="dxa"/>
            <w:vAlign w:val="center"/>
          </w:tcPr>
          <w:p w14:paraId="759DB29F" w14:textId="2B18B4A3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50%</w:t>
            </w:r>
          </w:p>
        </w:tc>
      </w:tr>
      <w:tr w:rsidR="00357598" w:rsidRPr="007C77AA" w14:paraId="4000A1C8" w14:textId="77777777" w:rsidTr="007C77AA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7C77AA" w:rsidRDefault="00357598" w:rsidP="00E703A6">
            <w:pPr>
              <w:spacing w:after="0" w:line="240" w:lineRule="auto"/>
              <w:ind w:right="-150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 xml:space="preserve">10.5 </w:t>
            </w:r>
            <w:r w:rsidR="009C4840" w:rsidRPr="007C77AA">
              <w:rPr>
                <w:rFonts w:ascii="Times New Roman" w:hAnsi="Times New Roman" w:cs="Times New Roman"/>
                <w:lang w:val="hu-HU"/>
              </w:rPr>
              <w:t xml:space="preserve">Szeminárium / </w:t>
            </w:r>
          </w:p>
          <w:p w14:paraId="620B4533" w14:textId="4F504641" w:rsidR="00357598" w:rsidRPr="007C77AA" w:rsidRDefault="009C4840" w:rsidP="00E703A6">
            <w:pPr>
              <w:spacing w:after="0" w:line="240" w:lineRule="auto"/>
              <w:ind w:right="-150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23EBB7B1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A szemináriumi olvasmányok ismerete, a csoportos projekt bemutatása, valamint egy írásbeli dolgozat leadása a félév végén (minimum 12 000 karakter)</w:t>
            </w:r>
          </w:p>
        </w:tc>
        <w:tc>
          <w:tcPr>
            <w:tcW w:w="2692" w:type="dxa"/>
            <w:vAlign w:val="center"/>
          </w:tcPr>
          <w:p w14:paraId="45722AA8" w14:textId="29668BC4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Egyéni és csoportos értékelés (az utolsó szeminárium keretében)</w:t>
            </w:r>
          </w:p>
        </w:tc>
        <w:tc>
          <w:tcPr>
            <w:tcW w:w="2978" w:type="dxa"/>
            <w:vAlign w:val="center"/>
          </w:tcPr>
          <w:p w14:paraId="47DB3803" w14:textId="73DF3BA5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40%</w:t>
            </w:r>
          </w:p>
        </w:tc>
      </w:tr>
      <w:tr w:rsidR="00357598" w:rsidRPr="007C77AA" w14:paraId="2C56DD2A" w14:textId="77777777" w:rsidTr="007C77AA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7C77AA" w:rsidRDefault="00357598" w:rsidP="00E703A6">
            <w:pPr>
              <w:spacing w:after="0" w:line="240" w:lineRule="auto"/>
              <w:ind w:right="-150"/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24C640C3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Aktív részvétel az előadásokon és a szemináriumokon</w:t>
            </w:r>
          </w:p>
        </w:tc>
        <w:tc>
          <w:tcPr>
            <w:tcW w:w="2692" w:type="dxa"/>
            <w:vAlign w:val="center"/>
          </w:tcPr>
          <w:p w14:paraId="24AF3BCF" w14:textId="3FA5F16B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Folyamatos értékelés</w:t>
            </w:r>
          </w:p>
        </w:tc>
        <w:tc>
          <w:tcPr>
            <w:tcW w:w="2978" w:type="dxa"/>
            <w:vAlign w:val="center"/>
          </w:tcPr>
          <w:p w14:paraId="7196415F" w14:textId="41FC6E14" w:rsidR="00357598" w:rsidRPr="007C77AA" w:rsidRDefault="007C77AA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10%</w:t>
            </w:r>
          </w:p>
        </w:tc>
      </w:tr>
      <w:tr w:rsidR="00357598" w:rsidRPr="007C77AA" w14:paraId="17F47F67" w14:textId="77777777" w:rsidTr="007C77AA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7C77AA" w:rsidRDefault="00357598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  <w:lang w:val="hu-HU"/>
              </w:rPr>
              <w:t xml:space="preserve">10.6 </w:t>
            </w:r>
            <w:r w:rsidR="009605D1" w:rsidRPr="007C77AA">
              <w:rPr>
                <w:rFonts w:ascii="Times New Roman" w:hAnsi="Times New Roman" w:cs="Times New Roman"/>
                <w:lang w:val="hu-HU"/>
              </w:rPr>
              <w:t>A teljesítmény minimumkövetelményei</w:t>
            </w:r>
          </w:p>
        </w:tc>
      </w:tr>
      <w:tr w:rsidR="00357598" w:rsidRPr="007C77AA" w14:paraId="6CA55508" w14:textId="77777777" w:rsidTr="007C77AA">
        <w:trPr>
          <w:trHeight w:val="1252"/>
        </w:trPr>
        <w:tc>
          <w:tcPr>
            <w:tcW w:w="10492" w:type="dxa"/>
            <w:gridSpan w:val="4"/>
          </w:tcPr>
          <w:p w14:paraId="19C84765" w14:textId="6FAC233A" w:rsidR="00357598" w:rsidRPr="007C77AA" w:rsidRDefault="00357598" w:rsidP="007C77AA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780E333C" w14:textId="77777777" w:rsidR="007C77AA" w:rsidRPr="007C77AA" w:rsidRDefault="007C77AA" w:rsidP="007C77AA">
            <w:pPr>
              <w:rPr>
                <w:rFonts w:ascii="Times New Roman" w:hAnsi="Times New Roman" w:cs="Times New Roman"/>
                <w:lang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Az alapvető szakmai terminológia ismerete. </w:t>
            </w:r>
          </w:p>
          <w:p w14:paraId="53D08EAB" w14:textId="77777777" w:rsidR="007C77AA" w:rsidRPr="007C77AA" w:rsidRDefault="007C77AA" w:rsidP="007C77AA">
            <w:pPr>
              <w:rPr>
                <w:rFonts w:ascii="Times New Roman" w:hAnsi="Times New Roman" w:cs="Times New Roman"/>
              </w:rPr>
            </w:pPr>
            <w:r w:rsidRPr="007C77AA">
              <w:rPr>
                <w:rFonts w:ascii="Times New Roman" w:hAnsi="Times New Roman" w:cs="Times New Roman"/>
              </w:rPr>
              <w:t xml:space="preserve">  A bibliográfiában szereplő művek legalább felének ismerete. </w:t>
            </w:r>
          </w:p>
          <w:p w14:paraId="3367B147" w14:textId="02FE08EC" w:rsidR="00357598" w:rsidRPr="007C77AA" w:rsidRDefault="007C77AA" w:rsidP="007C77AA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7C77AA">
              <w:rPr>
                <w:rFonts w:ascii="Times New Roman" w:hAnsi="Times New Roman" w:cs="Times New Roman"/>
              </w:rPr>
              <w:t>  A szeminárium esetében: részvétel és szereplés a bevezető vitában, az írásbeli dolgozat leadása, valamint valamennyi témakör alapvető szintű ismerete.</w:t>
            </w:r>
          </w:p>
          <w:p w14:paraId="2C08C47D" w14:textId="77777777" w:rsidR="00357598" w:rsidRPr="007C77AA" w:rsidRDefault="00357598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  <w:p w14:paraId="6766C520" w14:textId="77777777" w:rsidR="00357598" w:rsidRPr="007C77AA" w:rsidRDefault="00357598" w:rsidP="00E703A6">
            <w:pPr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</w:p>
        </w:tc>
      </w:tr>
    </w:tbl>
    <w:p w14:paraId="60074E2E" w14:textId="77777777" w:rsidR="00E82100" w:rsidRPr="007C77AA" w:rsidRDefault="00E82100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04C51839" w14:textId="77777777" w:rsidR="00E82100" w:rsidRPr="007C77AA" w:rsidRDefault="00E82100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0D47838B" w14:textId="6AB006AC" w:rsidR="006A3DD3" w:rsidRPr="007C77AA" w:rsidRDefault="006A3DD3" w:rsidP="00E703A6">
      <w:pPr>
        <w:spacing w:after="0" w:line="240" w:lineRule="auto"/>
        <w:ind w:hanging="425"/>
        <w:rPr>
          <w:rFonts w:ascii="Times New Roman" w:hAnsi="Times New Roman" w:cs="Times New Roman"/>
          <w:bCs/>
          <w:lang w:val="hu-HU"/>
        </w:rPr>
      </w:pPr>
      <w:r w:rsidRPr="007C77AA">
        <w:rPr>
          <w:rFonts w:ascii="Times New Roman" w:hAnsi="Times New Roman" w:cs="Times New Roman"/>
          <w:b/>
          <w:lang w:val="hu-HU"/>
        </w:rPr>
        <w:t xml:space="preserve">11. </w:t>
      </w:r>
      <w:r w:rsidR="004E0538" w:rsidRPr="007C77AA">
        <w:rPr>
          <w:rFonts w:ascii="Times New Roman" w:hAnsi="Times New Roman" w:cs="Times New Roman"/>
          <w:b/>
          <w:lang w:val="hu-HU"/>
        </w:rPr>
        <w:t xml:space="preserve">SDG ikonok </w:t>
      </w:r>
      <w:r w:rsidR="004E0538" w:rsidRPr="007C77AA">
        <w:rPr>
          <w:rFonts w:ascii="Times New Roman" w:hAnsi="Times New Roman" w:cs="Times New Roman"/>
          <w:bCs/>
          <w:lang w:val="hu-HU"/>
        </w:rPr>
        <w:t>(Fenntartható fejlődési célok/ Sustainable Development Goals)</w:t>
      </w:r>
      <w:r w:rsidR="00C3571C" w:rsidRPr="007C77AA">
        <w:rPr>
          <w:rStyle w:val="Lbjegyzet-hivatkozs"/>
          <w:rFonts w:ascii="Times New Roman" w:hAnsi="Times New Roman" w:cs="Times New Roman"/>
          <w:bCs/>
          <w:lang w:val="hu-HU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7C77AA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7C77AA" w:rsidRDefault="00CB66F3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7C77AA" w:rsidRDefault="000F683C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A f</w:t>
            </w:r>
            <w:r w:rsidR="00A526B5" w:rsidRPr="007C77AA">
              <w:rPr>
                <w:rFonts w:ascii="Times New Roman" w:hAnsi="Times New Roman"/>
                <w:sz w:val="24"/>
                <w:szCs w:val="24"/>
                <w:lang w:val="hu-HU"/>
              </w:rPr>
              <w:t>enntartható fejlődés általános ikonja</w:t>
            </w:r>
          </w:p>
        </w:tc>
      </w:tr>
      <w:tr w:rsidR="00CB66F3" w:rsidRPr="007C77AA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12150196" w:rsidR="001253AA" w:rsidRPr="007C77AA" w:rsidRDefault="007C77AA" w:rsidP="00E703A6">
            <w:pPr>
              <w:ind w:right="-537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noProof/>
                <w:lang w:val="hu-HU"/>
              </w:rPr>
              <w:drawing>
                <wp:inline distT="0" distB="0" distL="0" distR="0" wp14:anchorId="4AEA8892" wp14:editId="228621E8">
                  <wp:extent cx="603250" cy="603250"/>
                  <wp:effectExtent l="0" t="0" r="6350" b="6350"/>
                  <wp:docPr id="670341616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1CE7E8FF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07E24C44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0F948713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1DDE7636" w14:textId="089F2820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A69A711" w14:textId="500EAA7C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5DAF34EE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258E7F28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66B0DC33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</w:tr>
      <w:tr w:rsidR="00CB66F3" w:rsidRPr="007C77AA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7EF2C205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5B005270" w14:textId="7396E597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63B00AB0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2663F4B8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1B124168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609DA6BB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0AA1148A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30B9DC" w14:textId="144A8A1C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7C77AA" w:rsidRDefault="001253AA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</w:tr>
    </w:tbl>
    <w:p w14:paraId="74CA3B07" w14:textId="77777777" w:rsidR="006A3DD3" w:rsidRPr="007C77AA" w:rsidRDefault="006A3DD3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130C6DD3" w14:textId="77777777" w:rsidR="003C197C" w:rsidRPr="007C77AA" w:rsidRDefault="003C197C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p w14:paraId="0DA9B19F" w14:textId="77777777" w:rsidR="003C197C" w:rsidRPr="007C77AA" w:rsidRDefault="003C197C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7C77AA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7C77AA" w:rsidRDefault="00EF2302" w:rsidP="00E8210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lastRenderedPageBreak/>
              <w:t xml:space="preserve">Kitöltés </w:t>
            </w:r>
            <w:r w:rsidR="00925BD0" w:rsidRPr="007C77AA">
              <w:rPr>
                <w:rFonts w:ascii="Times New Roman" w:hAnsi="Times New Roman"/>
                <w:sz w:val="24"/>
                <w:szCs w:val="24"/>
                <w:lang w:val="hu-HU"/>
              </w:rPr>
              <w:t>időpontja</w:t>
            </w:r>
            <w:r w:rsidR="009F12E2" w:rsidRPr="007C77AA">
              <w:rPr>
                <w:rFonts w:ascii="Times New Roman" w:hAnsi="Times New Roman"/>
                <w:sz w:val="24"/>
                <w:szCs w:val="24"/>
                <w:lang w:val="hu-HU"/>
              </w:rPr>
              <w:t>:</w:t>
            </w:r>
          </w:p>
          <w:p w14:paraId="71362F5A" w14:textId="7076CDA9" w:rsidR="00E82100" w:rsidRPr="007C77AA" w:rsidRDefault="00E82100" w:rsidP="00E8210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...</w:t>
            </w:r>
          </w:p>
          <w:p w14:paraId="6F85EC4B" w14:textId="7190431F" w:rsidR="00E82100" w:rsidRPr="007C77AA" w:rsidRDefault="00E82100" w:rsidP="00E8210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7C77AA" w:rsidRDefault="00E82100" w:rsidP="00E8210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5A828CF7" w14:textId="125398BA" w:rsidR="003C197C" w:rsidRPr="007C77AA" w:rsidRDefault="00925BD0" w:rsidP="00E8210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E</w:t>
            </w:r>
            <w:r w:rsidR="00A9604D" w:rsidRPr="007C77AA">
              <w:rPr>
                <w:rFonts w:ascii="Times New Roman" w:hAnsi="Times New Roman"/>
                <w:sz w:val="24"/>
                <w:szCs w:val="24"/>
                <w:lang w:val="hu-HU"/>
              </w:rPr>
              <w:t>lőadás felelőse</w:t>
            </w:r>
            <w:r w:rsidR="009F12E2" w:rsidRPr="007C77AA">
              <w:rPr>
                <w:rFonts w:ascii="Times New Roman" w:hAnsi="Times New Roman"/>
                <w:sz w:val="24"/>
                <w:szCs w:val="24"/>
                <w:lang w:val="hu-HU"/>
              </w:rPr>
              <w:t>:</w:t>
            </w:r>
          </w:p>
          <w:p w14:paraId="272C349A" w14:textId="798DD667" w:rsidR="007C77AA" w:rsidRPr="007C77AA" w:rsidRDefault="007C77AA" w:rsidP="00E8210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Prof. Dr.</w:t>
            </w:r>
            <w:r w:rsidR="00740A2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habil</w:t>
            </w: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Visky András</w:t>
            </w:r>
          </w:p>
          <w:p w14:paraId="0F5C8287" w14:textId="11FFAF10" w:rsidR="00E82100" w:rsidRPr="007C77AA" w:rsidRDefault="00E82100" w:rsidP="00E82100">
            <w:pPr>
              <w:spacing w:after="240" w:line="480" w:lineRule="auto"/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7C77AA" w:rsidRDefault="00493F45" w:rsidP="00E8210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Szeminárium felelőse</w:t>
            </w:r>
            <w:r w:rsidR="009F12E2" w:rsidRPr="007C77AA">
              <w:rPr>
                <w:rFonts w:ascii="Times New Roman" w:hAnsi="Times New Roman"/>
                <w:sz w:val="24"/>
                <w:szCs w:val="24"/>
                <w:lang w:val="hu-HU"/>
              </w:rPr>
              <w:t>:</w:t>
            </w:r>
          </w:p>
          <w:p w14:paraId="55BC1388" w14:textId="391A7989" w:rsidR="007C77AA" w:rsidRPr="007C77AA" w:rsidRDefault="007C77AA" w:rsidP="00E8210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</w:rPr>
              <w:t>Drd. Lovassy Cseh Tamás</w:t>
            </w:r>
          </w:p>
          <w:p w14:paraId="34043C9C" w14:textId="4BD97B51" w:rsidR="00E82100" w:rsidRPr="007C77AA" w:rsidRDefault="00E82100" w:rsidP="00E8210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...................</w:t>
            </w:r>
          </w:p>
        </w:tc>
      </w:tr>
      <w:tr w:rsidR="006B6ABF" w:rsidRPr="007C77AA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7C77AA" w:rsidRDefault="003C197C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7C77AA" w:rsidRDefault="003C197C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7C77AA" w:rsidRDefault="003C197C" w:rsidP="00E703A6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</w:tr>
      <w:tr w:rsidR="006B6ABF" w:rsidRPr="007C77AA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7C77AA" w:rsidRDefault="0054636C" w:rsidP="00E8210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Az intézeti jóváhagyás dátuma</w:t>
            </w:r>
            <w:r w:rsidR="003C197C" w:rsidRPr="007C77AA">
              <w:rPr>
                <w:rFonts w:ascii="Times New Roman" w:hAnsi="Times New Roman"/>
                <w:sz w:val="24"/>
                <w:szCs w:val="24"/>
                <w:lang w:val="hu-HU"/>
              </w:rPr>
              <w:t>:</w:t>
            </w:r>
          </w:p>
          <w:p w14:paraId="4DCA8C86" w14:textId="7AE918A0" w:rsidR="00E82100" w:rsidRPr="007C77AA" w:rsidRDefault="00E82100" w:rsidP="00E8210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7C77AA" w:rsidRDefault="009C2B78" w:rsidP="00E82100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Intézetigazgató</w:t>
            </w:r>
            <w:r w:rsidR="009F12E2" w:rsidRPr="007C77AA">
              <w:rPr>
                <w:rFonts w:ascii="Times New Roman" w:hAnsi="Times New Roman"/>
                <w:sz w:val="24"/>
                <w:szCs w:val="24"/>
                <w:lang w:val="hu-HU"/>
              </w:rPr>
              <w:t>:</w:t>
            </w:r>
          </w:p>
          <w:p w14:paraId="6C7ED803" w14:textId="277D1B04" w:rsidR="00E82100" w:rsidRPr="007C77AA" w:rsidRDefault="00E82100" w:rsidP="00E82100">
            <w:pPr>
              <w:jc w:val="center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007C77AA">
              <w:rPr>
                <w:rFonts w:ascii="Times New Roman" w:hAnsi="Times New Roman"/>
                <w:sz w:val="24"/>
                <w:szCs w:val="24"/>
                <w:lang w:val="hu-HU"/>
              </w:rPr>
              <w:t>....................</w:t>
            </w:r>
          </w:p>
        </w:tc>
      </w:tr>
    </w:tbl>
    <w:p w14:paraId="7C12396E" w14:textId="77777777" w:rsidR="000B6EB1" w:rsidRPr="007C77AA" w:rsidRDefault="000B6EB1" w:rsidP="00E703A6">
      <w:pPr>
        <w:spacing w:after="0" w:line="240" w:lineRule="auto"/>
        <w:rPr>
          <w:rFonts w:ascii="Times New Roman" w:hAnsi="Times New Roman" w:cs="Times New Roman"/>
          <w:lang w:val="hu-HU"/>
        </w:rPr>
      </w:pPr>
    </w:p>
    <w:sectPr w:rsidR="000B6EB1" w:rsidRPr="007C77AA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C8E6C" w14:textId="77777777" w:rsidR="00762B18" w:rsidRDefault="00762B18" w:rsidP="00D12BC3">
      <w:pPr>
        <w:spacing w:after="0" w:line="240" w:lineRule="auto"/>
      </w:pPr>
      <w:r>
        <w:separator/>
      </w:r>
    </w:p>
  </w:endnote>
  <w:endnote w:type="continuationSeparator" w:id="0">
    <w:p w14:paraId="7AFD4C68" w14:textId="77777777" w:rsidR="00762B18" w:rsidRDefault="00762B1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71B4E" w14:textId="77777777" w:rsidR="00762B18" w:rsidRDefault="00762B18" w:rsidP="00D12BC3">
      <w:pPr>
        <w:spacing w:after="0" w:line="240" w:lineRule="auto"/>
      </w:pPr>
      <w:r>
        <w:separator/>
      </w:r>
    </w:p>
  </w:footnote>
  <w:footnote w:type="continuationSeparator" w:id="0">
    <w:p w14:paraId="14246AEB" w14:textId="77777777" w:rsidR="00762B18" w:rsidRDefault="00762B18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15B"/>
    <w:multiLevelType w:val="multilevel"/>
    <w:tmpl w:val="0D14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36F87"/>
    <w:multiLevelType w:val="multilevel"/>
    <w:tmpl w:val="C126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51609"/>
    <w:multiLevelType w:val="multilevel"/>
    <w:tmpl w:val="10B4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5"/>
  </w:num>
  <w:num w:numId="5" w16cid:durableId="742338933">
    <w:abstractNumId w:val="4"/>
  </w:num>
  <w:num w:numId="6" w16cid:durableId="137961068">
    <w:abstractNumId w:val="0"/>
  </w:num>
  <w:num w:numId="7" w16cid:durableId="20271672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1285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04A2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35D9F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40A2A"/>
    <w:rsid w:val="007506B7"/>
    <w:rsid w:val="007526F3"/>
    <w:rsid w:val="007550B0"/>
    <w:rsid w:val="007566DE"/>
    <w:rsid w:val="00762B18"/>
    <w:rsid w:val="007843D7"/>
    <w:rsid w:val="00793F1F"/>
    <w:rsid w:val="007C77AA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1A5B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93E34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273C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styleId="Kiemels">
    <w:name w:val="Emphasis"/>
    <w:basedOn w:val="Bekezdsalapbettpusa"/>
    <w:uiPriority w:val="20"/>
    <w:qFormat/>
    <w:rsid w:val="004504A2"/>
    <w:rPr>
      <w:i/>
      <w:iCs/>
    </w:rPr>
  </w:style>
  <w:style w:type="paragraph" w:styleId="NormlWeb">
    <w:name w:val="Normal (Web)"/>
    <w:basedOn w:val="Norml"/>
    <w:uiPriority w:val="99"/>
    <w:semiHidden/>
    <w:unhideWhenUsed/>
    <w:rsid w:val="00450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styleId="Kiemels2">
    <w:name w:val="Strong"/>
    <w:basedOn w:val="Bekezdsalapbettpusa"/>
    <w:uiPriority w:val="22"/>
    <w:qFormat/>
    <w:rsid w:val="007C77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2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1629</Words>
  <Characters>11246</Characters>
  <Application>Microsoft Office Word</Application>
  <DocSecurity>0</DocSecurity>
  <Lines>93</Lines>
  <Paragraphs>25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4</cp:revision>
  <dcterms:created xsi:type="dcterms:W3CDTF">2026-06-03T15:40:00Z</dcterms:created>
  <dcterms:modified xsi:type="dcterms:W3CDTF">2026-06-06T08:42:00Z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